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EAB3">
      <w:pPr>
        <w:pStyle w:val="2"/>
        <w:rPr>
          <w:rFonts w:hint="eastAsia"/>
        </w:rPr>
      </w:pPr>
    </w:p>
    <w:p w14:paraId="6FA7DE14">
      <w:pPr>
        <w:pStyle w:val="2"/>
        <w:rPr>
          <w:rFonts w:hint="eastAsia"/>
        </w:rPr>
      </w:pPr>
    </w:p>
    <w:p w14:paraId="7D9F635D">
      <w:pPr>
        <w:pStyle w:val="2"/>
        <w:rPr>
          <w:rFonts w:hint="eastAsia"/>
        </w:rPr>
      </w:pPr>
      <w:r>
        <w:rPr>
          <w:rFonts w:hint="eastAsia"/>
        </w:rPr>
        <w:t>1、支持通过身份证、体检条码、医保卡、电子医保来查询待打印报告；</w:t>
      </w:r>
    </w:p>
    <w:p w14:paraId="11D574FD">
      <w:pPr>
        <w:pStyle w:val="2"/>
        <w:rPr>
          <w:rFonts w:hint="eastAsia"/>
        </w:rPr>
      </w:pPr>
      <w:r>
        <w:rPr>
          <w:rFonts w:hint="eastAsia"/>
        </w:rPr>
        <w:t>2、智能管理集中打印，体检报告封面一起进行打印，支持宣传页自动插页；</w:t>
      </w:r>
    </w:p>
    <w:p w14:paraId="26A477F4">
      <w:pPr>
        <w:pStyle w:val="2"/>
        <w:rPr>
          <w:rFonts w:hint="eastAsia"/>
        </w:rPr>
      </w:pPr>
      <w:r>
        <w:rPr>
          <w:rFonts w:hint="eastAsia"/>
        </w:rPr>
        <w:t>3、支持通过体检号、姓名、手机号等关键字查询、修改、补打相关作业，时间段统计打印呈概况、细则智慧文印管理；</w:t>
      </w:r>
    </w:p>
    <w:p w14:paraId="313702B2">
      <w:pPr>
        <w:pStyle w:val="2"/>
        <w:rPr>
          <w:rFonts w:hint="eastAsia"/>
        </w:rPr>
      </w:pPr>
      <w:r>
        <w:rPr>
          <w:rFonts w:hint="eastAsia"/>
        </w:rPr>
        <w:t>4、支持在报告上按科室自定义添加水印、</w:t>
      </w:r>
      <w:r>
        <w:rPr>
          <w:rFonts w:hint="eastAsia"/>
          <w:lang w:val="en-US" w:eastAsia="zh-CN"/>
        </w:rPr>
        <w:t>页码、日期、</w:t>
      </w:r>
      <w:r>
        <w:rPr>
          <w:rFonts w:hint="eastAsia"/>
        </w:rPr>
        <w:t>引导语信息；</w:t>
      </w:r>
    </w:p>
    <w:p w14:paraId="4A7EA393">
      <w:pPr>
        <w:pStyle w:val="2"/>
        <w:rPr>
          <w:rFonts w:hint="eastAsia"/>
        </w:rPr>
      </w:pPr>
      <w:r>
        <w:rPr>
          <w:rFonts w:hint="eastAsia"/>
        </w:rPr>
        <w:t>5、支持默认打印最近未领取体检报告，支持选择历史报告后补打；</w:t>
      </w:r>
    </w:p>
    <w:p w14:paraId="0B4A0CF1">
      <w:pPr>
        <w:pStyle w:val="2"/>
        <w:rPr>
          <w:rFonts w:hint="eastAsia"/>
        </w:rPr>
      </w:pPr>
      <w:r>
        <w:rPr>
          <w:rFonts w:hint="eastAsia"/>
        </w:rPr>
        <w:t>6、支持自动装订，自动装订</w:t>
      </w:r>
      <w:r>
        <w:rPr>
          <w:rFonts w:hint="eastAsia"/>
          <w:lang w:val="en-US" w:eastAsia="zh-CN"/>
        </w:rPr>
        <w:t>体检报告</w:t>
      </w:r>
      <w:r>
        <w:rPr>
          <w:rFonts w:hint="eastAsia"/>
        </w:rPr>
        <w:t>（边订、角订）、自动双面、自动成套；</w:t>
      </w:r>
    </w:p>
    <w:p w14:paraId="31B01D5D">
      <w:pPr>
        <w:pStyle w:val="2"/>
        <w:rPr>
          <w:rFonts w:hint="eastAsia"/>
        </w:rPr>
      </w:pPr>
      <w:r>
        <w:rPr>
          <w:rFonts w:hint="eastAsia"/>
        </w:rPr>
        <w:t>7、支持可设置单个体检号免费打印份数，超出次数可收费后补打报告；</w:t>
      </w:r>
    </w:p>
    <w:p w14:paraId="330C909A">
      <w:pPr>
        <w:pStyle w:val="2"/>
        <w:rPr>
          <w:rFonts w:hint="eastAsia"/>
        </w:rPr>
      </w:pPr>
      <w:r>
        <w:rPr>
          <w:rFonts w:hint="eastAsia"/>
        </w:rPr>
        <w:t>8、支持打印状态实时监控自动报错，采用彩色喷墨打印或彩色激光打印；</w:t>
      </w:r>
    </w:p>
    <w:p w14:paraId="06873E7C">
      <w:pPr>
        <w:pStyle w:val="2"/>
        <w:rPr>
          <w:rFonts w:hint="eastAsia"/>
        </w:rPr>
      </w:pPr>
      <w:r>
        <w:rPr>
          <w:rFonts w:hint="eastAsia"/>
        </w:rPr>
        <w:t>9、支持用户角色权限配置；支持终端患者姓名隐藏规则配置；支持定时开关机功能。</w:t>
      </w:r>
    </w:p>
    <w:p w14:paraId="0820D82B">
      <w:pPr>
        <w:pStyle w:val="2"/>
        <w:rPr>
          <w:rFonts w:hint="eastAsia"/>
        </w:rPr>
      </w:pPr>
      <w:r>
        <w:rPr>
          <w:rFonts w:hint="eastAsia"/>
        </w:rPr>
        <w:t>10、支持与体检系统对接，具体要求如下：</w:t>
      </w:r>
    </w:p>
    <w:p w14:paraId="1CEE246B">
      <w:pPr>
        <w:pStyle w:val="2"/>
        <w:rPr>
          <w:rFonts w:hint="eastAsia"/>
        </w:rPr>
      </w:pPr>
      <w:r>
        <w:rPr>
          <w:rFonts w:hint="eastAsia"/>
        </w:rPr>
        <w:t>（1）实现报告自助机打印可通过体检号、身份证号请求数据，判断体检者PDF报告是否生成，已生成的直接返回报告信息，未生成报告先进行生成再返回报告信息，在进行打印。</w:t>
      </w:r>
    </w:p>
    <w:p w14:paraId="74067EF0">
      <w:pPr>
        <w:pStyle w:val="2"/>
        <w:rPr>
          <w:rFonts w:hint="eastAsia"/>
        </w:rPr>
      </w:pPr>
      <w:r>
        <w:rPr>
          <w:rFonts w:hint="eastAsia"/>
        </w:rPr>
        <w:t>（2）检验检查报告原单数据同步打印。</w:t>
      </w:r>
    </w:p>
    <w:p w14:paraId="0CE5C311">
      <w:pPr>
        <w:pStyle w:val="2"/>
        <w:rPr>
          <w:rFonts w:hint="eastAsia"/>
        </w:rPr>
      </w:pPr>
      <w:r>
        <w:rPr>
          <w:rFonts w:hint="eastAsia"/>
        </w:rPr>
        <w:t>（3）体检报告封面及内容的版面的同步。</w:t>
      </w:r>
    </w:p>
    <w:p w14:paraId="46F8D50F">
      <w:pPr>
        <w:pStyle w:val="2"/>
        <w:rPr>
          <w:rFonts w:hint="eastAsia"/>
          <w:lang w:eastAsia="zh-CN"/>
        </w:rPr>
      </w:pPr>
      <w:r>
        <w:rPr>
          <w:rFonts w:hint="eastAsia"/>
        </w:rPr>
        <w:t>11、服务商所投的设备须与体检中心体检系统对接，实现体检报告数据交互接口功能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包括后期体检软件更换或者升级等，</w:t>
      </w:r>
      <w:r>
        <w:rPr>
          <w:rFonts w:hint="eastAsia"/>
        </w:rPr>
        <w:t>由此产生的系统改造和接口费用由服务商承担（含第三系统接口改造费用）。服务商须提供承诺函，否则作为无效标处理</w:t>
      </w:r>
      <w:r>
        <w:rPr>
          <w:rFonts w:hint="eastAsia"/>
          <w:lang w:eastAsia="zh-CN"/>
        </w:rPr>
        <w:t>。</w:t>
      </w:r>
    </w:p>
    <w:p w14:paraId="3B422672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12、</w:t>
      </w:r>
      <w:r>
        <w:rPr>
          <w:rFonts w:hint="eastAsia"/>
        </w:rPr>
        <w:t>免费提供设备使用所需耗材（不包含纸张）、维修材料、易损件等材料、零配件与维修保养服务；</w:t>
      </w:r>
    </w:p>
    <w:p w14:paraId="4BFFBBF9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13、</w:t>
      </w:r>
      <w:r>
        <w:rPr>
          <w:rFonts w:hint="eastAsia"/>
        </w:rPr>
        <w:t>所提供的所有耗材、易耗品与维修材料必须是原厂正品；</w:t>
      </w:r>
    </w:p>
    <w:p w14:paraId="248CB82B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环境保障：无异味、无粉尘、无有害气体生产；</w:t>
      </w:r>
    </w:p>
    <w:p w14:paraId="3524A320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提供工作效率保障：单机A4横向连续打印速度120面/分钟以上、双面：60张/分钟以上；</w:t>
      </w:r>
    </w:p>
    <w:p w14:paraId="488594D1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16、</w:t>
      </w:r>
      <w:r>
        <w:rPr>
          <w:rFonts w:hint="eastAsia"/>
        </w:rPr>
        <w:t>计费方式：</w:t>
      </w:r>
    </w:p>
    <w:p w14:paraId="6019F64D">
      <w:pPr>
        <w:pStyle w:val="2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(1)</w:t>
      </w:r>
      <w:r>
        <w:rPr>
          <w:rFonts w:hint="eastAsia"/>
        </w:rPr>
        <w:t>按页计费，以A4面页为计费标准，大于A4页面折合成A4页面计算。</w:t>
      </w:r>
    </w:p>
    <w:p w14:paraId="665AF233">
      <w:pPr>
        <w:pStyle w:val="2"/>
        <w:rPr>
          <w:rFonts w:hint="eastAsia"/>
        </w:rPr>
      </w:pPr>
      <w:r>
        <w:rPr>
          <w:rFonts w:hint="eastAsia"/>
        </w:rPr>
        <w:t xml:space="preserve">  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）价格标准：不高于0.2元/A4页面。</w:t>
      </w:r>
    </w:p>
    <w:p w14:paraId="13DADAE3">
      <w:pPr>
        <w:pStyle w:val="2"/>
        <w:ind w:firstLine="200" w:firstLineChars="10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）结算周期：每季度进行抄表结算</w:t>
      </w:r>
    </w:p>
    <w:p w14:paraId="722B5C92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17、</w:t>
      </w:r>
      <w:r>
        <w:rPr>
          <w:rFonts w:hint="eastAsia"/>
        </w:rPr>
        <w:t>能够满足按</w:t>
      </w:r>
      <w:r>
        <w:rPr>
          <w:rFonts w:hint="eastAsia" w:eastAsia="宋体"/>
          <w:lang w:val="en-US" w:eastAsia="zh-CN"/>
        </w:rPr>
        <w:t>科室需求</w:t>
      </w:r>
      <w:r>
        <w:rPr>
          <w:rFonts w:hint="eastAsia"/>
        </w:rPr>
        <w:t>进行新增及设置；能够最大支持300个用户；支持分组、分级。</w:t>
      </w:r>
    </w:p>
    <w:p w14:paraId="6C5B1E32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18、</w:t>
      </w:r>
      <w:r>
        <w:rPr>
          <w:rFonts w:hint="eastAsia"/>
        </w:rPr>
        <w:t>能够支持分级权限设置，根据各部门及各工作人员的分工不同进行使用权限管理；配额管理。</w:t>
      </w:r>
    </w:p>
    <w:p w14:paraId="3AB11D5F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19、</w:t>
      </w:r>
      <w:r>
        <w:rPr>
          <w:rFonts w:hint="eastAsia"/>
        </w:rPr>
        <w:t>能够监控和采集（耗材、纸张、用量等）故障及错误操作，自动记录设备工作过程、状态和结果。</w:t>
      </w:r>
    </w:p>
    <w:p w14:paraId="158628E0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20、</w:t>
      </w:r>
      <w:r>
        <w:rPr>
          <w:rFonts w:hint="eastAsia"/>
        </w:rPr>
        <w:t>能够存储与调用常用作业、格式。</w:t>
      </w:r>
    </w:p>
    <w:p w14:paraId="05674CDB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21、</w:t>
      </w:r>
      <w:r>
        <w:rPr>
          <w:rFonts w:hint="eastAsia"/>
        </w:rPr>
        <w:t>能够进行IP地址限制；密码认证；可扩展至刷卡认证。</w:t>
      </w:r>
    </w:p>
    <w:p w14:paraId="217CCD09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22、</w:t>
      </w:r>
      <w:r>
        <w:rPr>
          <w:rFonts w:hint="eastAsia"/>
        </w:rPr>
        <w:t>售后服务：</w:t>
      </w:r>
    </w:p>
    <w:p w14:paraId="7D350BAA">
      <w:pPr>
        <w:pStyle w:val="2"/>
        <w:rPr>
          <w:rFonts w:hint="eastAsia"/>
        </w:rPr>
      </w:pPr>
      <w:r>
        <w:rPr>
          <w:rFonts w:hint="eastAsia"/>
        </w:rPr>
        <w:t>（1）服务期间，提供免费维保服务；</w:t>
      </w:r>
    </w:p>
    <w:p w14:paraId="451372AD">
      <w:pPr>
        <w:pStyle w:val="2"/>
        <w:rPr>
          <w:rFonts w:hint="eastAsia"/>
        </w:rPr>
      </w:pPr>
      <w:r>
        <w:rPr>
          <w:rFonts w:hint="eastAsia"/>
        </w:rPr>
        <w:t>（2）提供每月不少于10次的日常保养维护；</w:t>
      </w:r>
    </w:p>
    <w:p w14:paraId="4B6A2EA0">
      <w:pPr>
        <w:pStyle w:val="2"/>
        <w:rPr>
          <w:rFonts w:hint="eastAsia"/>
        </w:rPr>
      </w:pPr>
      <w:r>
        <w:rPr>
          <w:rFonts w:hint="eastAsia"/>
        </w:rPr>
        <w:t>（3）提供7*24小时售后服务，包括电话、微信、QQ、现场维护等；</w:t>
      </w:r>
    </w:p>
    <w:p w14:paraId="3C4D6F98">
      <w:pPr>
        <w:pStyle w:val="2"/>
        <w:rPr>
          <w:rFonts w:hint="eastAsia"/>
        </w:rPr>
      </w:pPr>
      <w:r>
        <w:rPr>
          <w:rFonts w:hint="eastAsia"/>
        </w:rPr>
        <w:t>（4）当采购人发起系统故障信息后，服务商须立即提供电话服务支持，通过向客户询问系统故障的起因、现象、结果等有关信息，认真做好记录，建立维护事件记录；并根据这些信息做出判断，提出解决方法，耐心指导客户逐步完成故障处理；</w:t>
      </w:r>
      <w:bookmarkStart w:id="0" w:name="_GoBack"/>
      <w:bookmarkEnd w:id="0"/>
    </w:p>
    <w:p w14:paraId="0699DB08">
      <w:pPr>
        <w:pStyle w:val="2"/>
        <w:rPr>
          <w:rFonts w:hint="eastAsia"/>
        </w:rPr>
      </w:pPr>
      <w:r>
        <w:rPr>
          <w:rFonts w:hint="eastAsia"/>
        </w:rPr>
        <w:t>（5）对于软件系统及参保设备出现的故障，当采购人的系统管理员、电话支持服务不能及时解决时，服务商须立即安排工程师到客户现场，会同采购人及相关部门研究解决的方法，进行故障的处理；服务期内，服务商售后服务所发生的一切费用，包括工时费、交通费、住宿费、通讯费均由服务商承担；</w:t>
      </w:r>
    </w:p>
    <w:p w14:paraId="6FA2CBCF">
      <w:pPr>
        <w:pStyle w:val="2"/>
        <w:rPr>
          <w:rFonts w:hint="eastAsia"/>
        </w:rPr>
      </w:pPr>
      <w:r>
        <w:rPr>
          <w:rFonts w:hint="eastAsia"/>
        </w:rPr>
        <w:t>（6）售后服务应在半小时内响应，2个小时内到达现场处理，8小时内完全修复。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09"/>
    <w:rsid w:val="00024CE9"/>
    <w:rsid w:val="005210F1"/>
    <w:rsid w:val="0084061D"/>
    <w:rsid w:val="00B73BCA"/>
    <w:rsid w:val="00BB5E1E"/>
    <w:rsid w:val="00BF7156"/>
    <w:rsid w:val="00CA568B"/>
    <w:rsid w:val="00E23D09"/>
    <w:rsid w:val="00E263C4"/>
    <w:rsid w:val="0380150F"/>
    <w:rsid w:val="54D5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9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10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5"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3">
    <w:name w:val="Body Text First Indent"/>
    <w:basedOn w:val="2"/>
    <w:next w:val="1"/>
    <w:link w:val="36"/>
    <w:qFormat/>
    <w:uiPriority w:val="99"/>
    <w:pPr>
      <w:tabs>
        <w:tab w:val="left" w:pos="780"/>
      </w:tabs>
      <w:spacing w:after="120"/>
      <w:ind w:firstLine="420" w:firstLineChars="100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正文文本 字符"/>
    <w:basedOn w:val="16"/>
    <w:link w:val="2"/>
    <w:qFormat/>
    <w:uiPriority w:val="99"/>
    <w:rPr>
      <w:rFonts w:ascii="Times New Roman" w:hAnsi="Times New Roman" w:eastAsia="Times New Roman" w:cs="Times New Roman"/>
      <w:sz w:val="20"/>
      <w:szCs w:val="24"/>
    </w:rPr>
  </w:style>
  <w:style w:type="character" w:customStyle="1" w:styleId="36">
    <w:name w:val="正文文本首行缩进 字符"/>
    <w:basedOn w:val="35"/>
    <w:link w:val="3"/>
    <w:qFormat/>
    <w:uiPriority w:val="99"/>
    <w:rPr>
      <w:rFonts w:ascii="Times New Roman" w:hAnsi="Times New Roman" w:eastAsia="Times New Roman" w:cs="Times New Roman"/>
      <w:sz w:val="20"/>
      <w:szCs w:val="24"/>
    </w:rPr>
  </w:style>
  <w:style w:type="paragraph" w:customStyle="1" w:styleId="3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1289</Words>
  <Characters>1325</Characters>
  <Lines>4</Lines>
  <Paragraphs>1</Paragraphs>
  <TotalTime>16</TotalTime>
  <ScaleCrop>false</ScaleCrop>
  <LinksUpToDate>false</LinksUpToDate>
  <CharactersWithSpaces>1330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2026-06-08T04:18:00Z</dcterms:created>
  <dc:creator>张强</dc:creator>
  <cp:lastModifiedBy>肖旭</cp:lastModifiedBy>
  <dcterms:modified xsi:type="dcterms:W3CDTF">2026-06-17T02:25:44Z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eyJoZGlkIjoiOTBhOTBjZWFjOGFkMTlkZWQxN2NkZTk2YjVkZmJhNWYiLCJ1c2VySWQiOiIxNDg4MTk3Nzg2In0=</vt:lpwstr>
  </property>
  <property fmtid="{D5CDD505-2E9C-101B-9397-08002B2CF9AE}" pid="3" name="KSOProductBuildVer">
    <vt:lpwstr>2052-12.1.0.23125</vt:lpwstr>
  </property>
  <property fmtid="{D5CDD505-2E9C-101B-9397-08002B2CF9AE}" pid="4" name="ICV">
    <vt:lpwstr>DBA67716DD254F31A79235C94B6E7013_12</vt:lpwstr>
  </property>
</Properties>
</file>