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内江市第二人民医院</w:t>
      </w:r>
    </w:p>
    <w:p>
      <w:pPr>
        <w:numPr>
          <w:ilvl w:val="0"/>
          <w:numId w:val="0"/>
        </w:num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危险废物全过程物联网监管系统采购项目</w:t>
      </w:r>
      <w:r>
        <w:rPr>
          <w:rFonts w:hint="eastAsia" w:ascii="方正小标宋简体" w:hAnsi="方正小标宋简体" w:eastAsia="方正小标宋简体" w:cs="方正小标宋简体"/>
          <w:b w:val="0"/>
          <w:bCs w:val="0"/>
          <w:sz w:val="44"/>
          <w:szCs w:val="44"/>
          <w:lang w:val="en-US" w:eastAsia="zh-CN"/>
        </w:rPr>
        <w:t>建设内容及要求</w:t>
      </w:r>
    </w:p>
    <w:p>
      <w:pPr>
        <w:keepNext w:val="0"/>
        <w:keepLines w:val="0"/>
        <w:pageBreakBefore w:val="0"/>
        <w:widowControl w:val="0"/>
        <w:kinsoku/>
        <w:wordWrap/>
        <w:overflowPunct/>
        <w:topLinePunct w:val="0"/>
        <w:autoSpaceDE/>
        <w:autoSpaceDN/>
        <w:bidi w:val="0"/>
        <w:spacing w:line="360" w:lineRule="auto"/>
        <w:ind w:lef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、建设内容</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按照四川省生态环境厅办公室</w:t>
      </w:r>
      <w:r>
        <w:rPr>
          <w:rFonts w:hint="eastAsia" w:ascii="仿宋" w:hAnsi="仿宋" w:eastAsia="仿宋" w:cs="仿宋"/>
          <w:sz w:val="32"/>
          <w:szCs w:val="32"/>
          <w:lang w:eastAsia="zh-CN"/>
        </w:rPr>
        <w:t>发布的川环办函〔2022】186号</w:t>
      </w:r>
      <w:r>
        <w:rPr>
          <w:rFonts w:hint="eastAsia" w:ascii="仿宋" w:hAnsi="仿宋" w:eastAsia="仿宋" w:cs="仿宋"/>
          <w:sz w:val="32"/>
          <w:szCs w:val="32"/>
        </w:rPr>
        <w:t>《四川省生态环境厅办公室关于开展危险废物全过程物联网监管试点工作的通知》</w:t>
      </w:r>
      <w:r>
        <w:rPr>
          <w:rFonts w:hint="eastAsia" w:ascii="仿宋" w:hAnsi="仿宋" w:eastAsia="仿宋" w:cs="仿宋"/>
          <w:sz w:val="32"/>
          <w:szCs w:val="32"/>
          <w:lang w:eastAsia="zh-CN"/>
        </w:rPr>
        <w:t>、</w:t>
      </w:r>
      <w:r>
        <w:rPr>
          <w:rFonts w:hint="eastAsia" w:ascii="仿宋" w:hAnsi="仿宋" w:eastAsia="仿宋" w:cs="仿宋"/>
          <w:sz w:val="32"/>
          <w:szCs w:val="32"/>
        </w:rPr>
        <w:t>川环办函〔2022】490号《</w:t>
      </w:r>
      <w:r>
        <w:rPr>
          <w:rFonts w:hint="eastAsia" w:ascii="仿宋" w:hAnsi="仿宋" w:eastAsia="仿宋" w:cs="仿宋"/>
          <w:sz w:val="32"/>
          <w:szCs w:val="32"/>
          <w:lang w:eastAsia="zh-CN"/>
        </w:rPr>
        <w:t>四川省生态环境厅办公室关于全面开展全省危险废物全过程信息化管理的通知</w:t>
      </w:r>
      <w:r>
        <w:rPr>
          <w:rFonts w:hint="eastAsia" w:ascii="仿宋" w:hAnsi="仿宋" w:eastAsia="仿宋" w:cs="仿宋"/>
          <w:sz w:val="32"/>
          <w:szCs w:val="32"/>
        </w:rPr>
        <w:t>》</w:t>
      </w:r>
      <w:r>
        <w:rPr>
          <w:rFonts w:hint="eastAsia" w:ascii="仿宋" w:hAnsi="仿宋" w:eastAsia="仿宋" w:cs="仿宋"/>
          <w:sz w:val="32"/>
          <w:szCs w:val="32"/>
          <w:lang w:eastAsia="zh-CN"/>
        </w:rPr>
        <w:t>以及</w:t>
      </w:r>
      <w:r>
        <w:rPr>
          <w:rFonts w:hint="eastAsia" w:ascii="仿宋" w:hAnsi="仿宋" w:eastAsia="仿宋" w:cs="仿宋"/>
          <w:sz w:val="32"/>
          <w:szCs w:val="32"/>
        </w:rPr>
        <w:t>《</w:t>
      </w:r>
      <w:r>
        <w:rPr>
          <w:rFonts w:hint="eastAsia" w:ascii="仿宋" w:hAnsi="仿宋" w:eastAsia="仿宋" w:cs="仿宋"/>
          <w:sz w:val="32"/>
          <w:szCs w:val="32"/>
          <w:lang w:eastAsia="zh-CN"/>
        </w:rPr>
        <w:t>四川省生态环境厅办公室关于开展危险废物全过程物联网监管试点工作的通知</w:t>
      </w:r>
      <w:r>
        <w:rPr>
          <w:rFonts w:hint="eastAsia" w:ascii="仿宋" w:hAnsi="仿宋" w:eastAsia="仿宋" w:cs="仿宋"/>
          <w:sz w:val="32"/>
          <w:szCs w:val="32"/>
        </w:rPr>
        <w:t>》等各级生态环境主管部门对危险废物重点管理单位物联网建设要求，完成危险废物物联网监管系统建设，并对系统数据提供维护服务。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完成危险废物物联网监管硬件及软件设施建设。危险废物数据上传四川省固体废物综合管理平台，无缝对接市级平台和</w:t>
      </w:r>
      <w:r>
        <w:rPr>
          <w:rFonts w:hint="eastAsia" w:ascii="仿宋" w:hAnsi="仿宋" w:eastAsia="仿宋" w:cs="仿宋"/>
          <w:sz w:val="32"/>
          <w:szCs w:val="32"/>
          <w:lang w:val="en-US" w:eastAsia="zh-CN"/>
        </w:rPr>
        <w:t>危险废物</w:t>
      </w:r>
      <w:r>
        <w:rPr>
          <w:rFonts w:hint="eastAsia" w:ascii="仿宋" w:hAnsi="仿宋" w:eastAsia="仿宋" w:cs="仿宋"/>
          <w:sz w:val="32"/>
          <w:szCs w:val="32"/>
        </w:rPr>
        <w:t>处置中心处置平台，</w:t>
      </w:r>
      <w:r>
        <w:rPr>
          <w:rFonts w:hint="eastAsia" w:ascii="仿宋" w:hAnsi="仿宋" w:eastAsia="仿宋" w:cs="仿宋"/>
          <w:sz w:val="32"/>
          <w:szCs w:val="32"/>
          <w:lang w:eastAsia="zh-CN"/>
        </w:rPr>
        <w:t>（提供已完成对接的证明材料）</w:t>
      </w:r>
      <w:r>
        <w:rPr>
          <w:rFonts w:hint="eastAsia" w:ascii="仿宋" w:hAnsi="仿宋" w:eastAsia="仿宋" w:cs="仿宋"/>
          <w:sz w:val="32"/>
          <w:szCs w:val="32"/>
        </w:rPr>
        <w:t>完成闭环管理。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现场视频监控设施建设，并将本地视频监控数据接入内江市生态环境视频接入中心。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4.无缝对接院内信息化管理平台，提供院内信息系统服务</w:t>
      </w:r>
      <w:r>
        <w:rPr>
          <w:rFonts w:hint="eastAsia" w:ascii="仿宋" w:hAnsi="仿宋" w:eastAsia="仿宋" w:cs="仿宋"/>
          <w:sz w:val="32"/>
          <w:szCs w:val="32"/>
          <w:lang w:eastAsia="zh-CN"/>
        </w:rPr>
        <w:t>（提供已完成对接的证明材料）</w:t>
      </w:r>
      <w:r>
        <w:rPr>
          <w:rFonts w:hint="eastAsia" w:ascii="仿宋" w:hAnsi="仿宋" w:eastAsia="仿宋" w:cs="仿宋"/>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日常耗材（标签）提供</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6.提供</w:t>
      </w:r>
      <w:r>
        <w:rPr>
          <w:rFonts w:hint="eastAsia" w:ascii="仿宋" w:hAnsi="仿宋" w:eastAsia="仿宋" w:cs="仿宋"/>
          <w:sz w:val="32"/>
          <w:szCs w:val="32"/>
        </w:rPr>
        <w:t>系统维护服务。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二、危险废物建设技术参数</w:t>
      </w:r>
    </w:p>
    <w:tbl>
      <w:tblPr>
        <w:tblStyle w:val="4"/>
        <w:tblW w:w="5000" w:type="pct"/>
        <w:tblInd w:w="0" w:type="dxa"/>
        <w:tblLayout w:type="autofit"/>
        <w:tblCellMar>
          <w:top w:w="0" w:type="dxa"/>
          <w:left w:w="108" w:type="dxa"/>
          <w:bottom w:w="0" w:type="dxa"/>
          <w:right w:w="108" w:type="dxa"/>
        </w:tblCellMar>
      </w:tblPr>
      <w:tblGrid>
        <w:gridCol w:w="575"/>
        <w:gridCol w:w="1074"/>
        <w:gridCol w:w="573"/>
        <w:gridCol w:w="711"/>
        <w:gridCol w:w="2312"/>
        <w:gridCol w:w="3277"/>
      </w:tblGrid>
      <w:tr>
        <w:tblPrEx>
          <w:tblCellMar>
            <w:top w:w="0" w:type="dxa"/>
            <w:left w:w="108" w:type="dxa"/>
            <w:bottom w:w="0" w:type="dxa"/>
            <w:right w:w="108" w:type="dxa"/>
          </w:tblCellMar>
        </w:tblPrEx>
        <w:trPr>
          <w:trHeight w:val="772"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序号</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设备名称</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数量</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单位</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技术规范</w:t>
            </w:r>
          </w:p>
        </w:tc>
        <w:tc>
          <w:tcPr>
            <w:tcW w:w="192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设备参数</w:t>
            </w:r>
          </w:p>
        </w:tc>
      </w:tr>
      <w:tr>
        <w:tblPrEx>
          <w:tblCellMar>
            <w:top w:w="0" w:type="dxa"/>
            <w:left w:w="108" w:type="dxa"/>
            <w:bottom w:w="0" w:type="dxa"/>
            <w:right w:w="108" w:type="dxa"/>
          </w:tblCellMar>
        </w:tblPrEx>
        <w:trPr>
          <w:trHeight w:val="930"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危险废物管理系统</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项</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left"/>
              <w:rPr>
                <w:rFonts w:hint="eastAsia" w:ascii="仿宋" w:hAnsi="仿宋" w:eastAsia="仿宋" w:cs="仿宋"/>
                <w:sz w:val="24"/>
                <w:szCs w:val="32"/>
                <w:lang w:val="en-US" w:eastAsia="zh-CN"/>
              </w:rPr>
            </w:pPr>
            <w:r>
              <w:rPr>
                <w:rFonts w:hint="eastAsia" w:ascii="仿宋" w:hAnsi="仿宋" w:eastAsia="仿宋" w:cs="仿宋"/>
                <w:sz w:val="24"/>
                <w:szCs w:val="32"/>
              </w:rPr>
              <w:t>可实现危险废物产生、收集、贮存、处置环节的信息化管理，实现数据统计、查询。</w:t>
            </w:r>
            <w:r>
              <w:rPr>
                <w:rFonts w:hint="eastAsia" w:ascii="仿宋" w:hAnsi="仿宋" w:eastAsia="仿宋" w:cs="仿宋"/>
                <w:sz w:val="24"/>
                <w:szCs w:val="32"/>
                <w:lang w:val="en-US" w:eastAsia="zh-CN"/>
              </w:rPr>
              <w:t>对危险废物实现信息化溯源管理，实时动态跟踪，数据实现精细化管理。</w:t>
            </w:r>
          </w:p>
          <w:p>
            <w:pPr>
              <w:numPr>
                <w:ilvl w:val="0"/>
                <w:numId w:val="1"/>
              </w:numPr>
              <w:jc w:val="left"/>
              <w:rPr>
                <w:rFonts w:hint="eastAsia" w:ascii="仿宋" w:hAnsi="仿宋" w:eastAsia="仿宋" w:cs="仿宋"/>
                <w:sz w:val="24"/>
                <w:szCs w:val="32"/>
              </w:rPr>
            </w:pPr>
            <w:r>
              <w:rPr>
                <w:rFonts w:hint="eastAsia" w:ascii="仿宋" w:hAnsi="仿宋" w:eastAsia="仿宋" w:cs="仿宋"/>
                <w:sz w:val="24"/>
                <w:szCs w:val="32"/>
                <w:lang w:eastAsia="zh-CN"/>
              </w:rPr>
              <w:t>首页：</w:t>
            </w:r>
            <w:r>
              <w:rPr>
                <w:rFonts w:hint="eastAsia" w:ascii="仿宋" w:hAnsi="仿宋" w:eastAsia="仿宋" w:cs="仿宋"/>
                <w:sz w:val="24"/>
                <w:szCs w:val="32"/>
                <w:lang w:val="en-US" w:eastAsia="zh-CN"/>
              </w:rPr>
              <w:t>多维度展示危险废物统计数据，包含入库统计</w:t>
            </w:r>
            <w:r>
              <w:rPr>
                <w:rFonts w:hint="eastAsia" w:ascii="仿宋" w:hAnsi="仿宋" w:eastAsia="仿宋" w:cs="仿宋"/>
                <w:sz w:val="24"/>
                <w:szCs w:val="32"/>
              </w:rPr>
              <w:t>、</w:t>
            </w:r>
            <w:r>
              <w:rPr>
                <w:rFonts w:hint="eastAsia" w:ascii="仿宋" w:hAnsi="仿宋" w:eastAsia="仿宋" w:cs="仿宋"/>
                <w:sz w:val="24"/>
                <w:szCs w:val="32"/>
                <w:lang w:val="en-US" w:eastAsia="zh-CN"/>
              </w:rPr>
              <w:t>出库统计，7日内危废总量及变量。</w:t>
            </w:r>
          </w:p>
          <w:p>
            <w:pPr>
              <w:numPr>
                <w:ilvl w:val="0"/>
                <w:numId w:val="1"/>
              </w:numPr>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危废追溯：实现对危险废物流转溯源，如根据危废名称</w:t>
            </w:r>
            <w:r>
              <w:rPr>
                <w:rFonts w:hint="eastAsia" w:ascii="仿宋" w:hAnsi="仿宋" w:eastAsia="仿宋" w:cs="仿宋"/>
                <w:sz w:val="24"/>
                <w:szCs w:val="32"/>
              </w:rPr>
              <w:t>、</w:t>
            </w:r>
            <w:r>
              <w:rPr>
                <w:rFonts w:hint="eastAsia" w:ascii="仿宋" w:hAnsi="仿宋" w:eastAsia="仿宋" w:cs="仿宋"/>
                <w:sz w:val="24"/>
                <w:szCs w:val="32"/>
                <w:lang w:val="en-US" w:eastAsia="zh-CN"/>
              </w:rPr>
              <w:t>状态</w:t>
            </w:r>
            <w:r>
              <w:rPr>
                <w:rFonts w:hint="eastAsia" w:ascii="仿宋" w:hAnsi="仿宋" w:eastAsia="仿宋" w:cs="仿宋"/>
                <w:sz w:val="24"/>
                <w:szCs w:val="32"/>
              </w:rPr>
              <w:t>、</w:t>
            </w:r>
            <w:r>
              <w:rPr>
                <w:rFonts w:hint="eastAsia" w:ascii="仿宋" w:hAnsi="仿宋" w:eastAsia="仿宋" w:cs="仿宋"/>
                <w:sz w:val="24"/>
                <w:szCs w:val="32"/>
                <w:lang w:val="en-US" w:eastAsia="zh-CN"/>
              </w:rPr>
              <w:t>编号</w:t>
            </w:r>
            <w:r>
              <w:rPr>
                <w:rFonts w:hint="eastAsia" w:ascii="仿宋" w:hAnsi="仿宋" w:eastAsia="仿宋" w:cs="仿宋"/>
                <w:sz w:val="24"/>
                <w:szCs w:val="32"/>
              </w:rPr>
              <w:t>、</w:t>
            </w:r>
            <w:r>
              <w:rPr>
                <w:rFonts w:hint="eastAsia" w:ascii="仿宋" w:hAnsi="仿宋" w:eastAsia="仿宋" w:cs="仿宋"/>
                <w:sz w:val="24"/>
                <w:szCs w:val="32"/>
                <w:lang w:val="en-US" w:eastAsia="zh-CN"/>
              </w:rPr>
              <w:t>时间节点等任意方式对入库</w:t>
            </w:r>
            <w:r>
              <w:rPr>
                <w:rFonts w:hint="eastAsia" w:ascii="仿宋" w:hAnsi="仿宋" w:eastAsia="仿宋" w:cs="仿宋"/>
                <w:sz w:val="24"/>
                <w:szCs w:val="32"/>
              </w:rPr>
              <w:t>、</w:t>
            </w:r>
            <w:r>
              <w:rPr>
                <w:rFonts w:hint="eastAsia" w:ascii="仿宋" w:hAnsi="仿宋" w:eastAsia="仿宋" w:cs="仿宋"/>
                <w:sz w:val="24"/>
                <w:szCs w:val="32"/>
                <w:lang w:val="en-US" w:eastAsia="zh-CN"/>
              </w:rPr>
              <w:t>出库信息溯源，可以生成报表。</w:t>
            </w:r>
          </w:p>
          <w:p>
            <w:pPr>
              <w:numPr>
                <w:ilvl w:val="0"/>
                <w:numId w:val="1"/>
              </w:numPr>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入库记录：实现危险废物入库记录查询，如根据危废名称</w:t>
            </w:r>
            <w:r>
              <w:rPr>
                <w:rFonts w:hint="eastAsia" w:ascii="仿宋" w:hAnsi="仿宋" w:eastAsia="仿宋" w:cs="仿宋"/>
                <w:sz w:val="24"/>
                <w:szCs w:val="32"/>
              </w:rPr>
              <w:t>、</w:t>
            </w:r>
            <w:r>
              <w:rPr>
                <w:rFonts w:hint="eastAsia" w:ascii="仿宋" w:hAnsi="仿宋" w:eastAsia="仿宋" w:cs="仿宋"/>
                <w:sz w:val="24"/>
                <w:szCs w:val="32"/>
                <w:lang w:val="en-US" w:eastAsia="zh-CN"/>
              </w:rPr>
              <w:t>编号</w:t>
            </w:r>
            <w:r>
              <w:rPr>
                <w:rFonts w:hint="eastAsia" w:ascii="仿宋" w:hAnsi="仿宋" w:eastAsia="仿宋" w:cs="仿宋"/>
                <w:sz w:val="24"/>
                <w:szCs w:val="32"/>
              </w:rPr>
              <w:t>、</w:t>
            </w:r>
            <w:r>
              <w:rPr>
                <w:rFonts w:hint="eastAsia" w:ascii="仿宋" w:hAnsi="仿宋" w:eastAsia="仿宋" w:cs="仿宋"/>
                <w:sz w:val="24"/>
                <w:szCs w:val="32"/>
                <w:lang w:val="en-US" w:eastAsia="zh-CN"/>
              </w:rPr>
              <w:t>时间节点等任意方式查询，可以生成报表。</w:t>
            </w:r>
          </w:p>
          <w:p>
            <w:pPr>
              <w:numPr>
                <w:ilvl w:val="0"/>
                <w:numId w:val="1"/>
              </w:numPr>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出库记录：实现危险废物出库记录查询，如根据危废名称</w:t>
            </w:r>
            <w:r>
              <w:rPr>
                <w:rFonts w:hint="eastAsia" w:ascii="仿宋" w:hAnsi="仿宋" w:eastAsia="仿宋" w:cs="仿宋"/>
                <w:sz w:val="24"/>
                <w:szCs w:val="32"/>
              </w:rPr>
              <w:t>、</w:t>
            </w:r>
            <w:r>
              <w:rPr>
                <w:rFonts w:hint="eastAsia" w:ascii="仿宋" w:hAnsi="仿宋" w:eastAsia="仿宋" w:cs="仿宋"/>
                <w:sz w:val="24"/>
                <w:szCs w:val="32"/>
                <w:lang w:val="en-US" w:eastAsia="zh-CN"/>
              </w:rPr>
              <w:t>编号</w:t>
            </w:r>
            <w:r>
              <w:rPr>
                <w:rFonts w:hint="eastAsia" w:ascii="仿宋" w:hAnsi="仿宋" w:eastAsia="仿宋" w:cs="仿宋"/>
                <w:sz w:val="24"/>
                <w:szCs w:val="32"/>
              </w:rPr>
              <w:t>、</w:t>
            </w:r>
            <w:r>
              <w:rPr>
                <w:rFonts w:hint="eastAsia" w:ascii="仿宋" w:hAnsi="仿宋" w:eastAsia="仿宋" w:cs="仿宋"/>
                <w:sz w:val="24"/>
                <w:szCs w:val="32"/>
                <w:lang w:val="en-US" w:eastAsia="zh-CN"/>
              </w:rPr>
              <w:t>运输单位</w:t>
            </w:r>
            <w:r>
              <w:rPr>
                <w:rFonts w:hint="eastAsia" w:ascii="仿宋" w:hAnsi="仿宋" w:eastAsia="仿宋" w:cs="仿宋"/>
                <w:sz w:val="24"/>
                <w:szCs w:val="32"/>
              </w:rPr>
              <w:t>、</w:t>
            </w:r>
            <w:r>
              <w:rPr>
                <w:rFonts w:hint="eastAsia" w:ascii="仿宋" w:hAnsi="仿宋" w:eastAsia="仿宋" w:cs="仿宋"/>
                <w:sz w:val="24"/>
                <w:szCs w:val="32"/>
                <w:lang w:val="en-US" w:eastAsia="zh-CN"/>
              </w:rPr>
              <w:t>时间节点等任意方式查询，可以生成报表。</w:t>
            </w:r>
          </w:p>
          <w:p>
            <w:pPr>
              <w:numPr>
                <w:ilvl w:val="0"/>
                <w:numId w:val="1"/>
              </w:numPr>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出库配置：对危险废物出库进行运输单位</w:t>
            </w:r>
            <w:r>
              <w:rPr>
                <w:rFonts w:hint="eastAsia" w:ascii="仿宋" w:hAnsi="仿宋" w:eastAsia="仿宋" w:cs="仿宋"/>
                <w:sz w:val="24"/>
                <w:szCs w:val="32"/>
              </w:rPr>
              <w:t>、</w:t>
            </w:r>
            <w:r>
              <w:rPr>
                <w:rFonts w:hint="eastAsia" w:ascii="仿宋" w:hAnsi="仿宋" w:eastAsia="仿宋" w:cs="仿宋"/>
                <w:sz w:val="24"/>
                <w:szCs w:val="32"/>
                <w:lang w:val="en-US" w:eastAsia="zh-CN"/>
              </w:rPr>
              <w:t>准运区域</w:t>
            </w:r>
            <w:r>
              <w:rPr>
                <w:rFonts w:hint="eastAsia" w:ascii="仿宋" w:hAnsi="仿宋" w:eastAsia="仿宋" w:cs="仿宋"/>
                <w:sz w:val="24"/>
                <w:szCs w:val="32"/>
              </w:rPr>
              <w:t>、</w:t>
            </w:r>
            <w:r>
              <w:rPr>
                <w:rFonts w:hint="eastAsia" w:ascii="仿宋" w:hAnsi="仿宋" w:eastAsia="仿宋" w:cs="仿宋"/>
                <w:sz w:val="24"/>
                <w:szCs w:val="32"/>
                <w:lang w:val="en-US" w:eastAsia="zh-CN"/>
              </w:rPr>
              <w:t>准运类型进行配置。</w:t>
            </w:r>
          </w:p>
          <w:p>
            <w:pPr>
              <w:numPr>
                <w:ilvl w:val="0"/>
                <w:numId w:val="1"/>
              </w:numPr>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根据实际情况对危险废物名称</w:t>
            </w:r>
            <w:r>
              <w:rPr>
                <w:rFonts w:hint="eastAsia" w:ascii="仿宋" w:hAnsi="仿宋" w:eastAsia="仿宋" w:cs="仿宋"/>
                <w:sz w:val="24"/>
                <w:szCs w:val="32"/>
              </w:rPr>
              <w:t>、</w:t>
            </w:r>
            <w:r>
              <w:rPr>
                <w:rFonts w:hint="eastAsia" w:ascii="仿宋" w:hAnsi="仿宋" w:eastAsia="仿宋" w:cs="仿宋"/>
                <w:sz w:val="24"/>
                <w:szCs w:val="32"/>
                <w:lang w:val="en-US" w:eastAsia="zh-CN"/>
              </w:rPr>
              <w:t>种类及编码进行配置管理。</w:t>
            </w:r>
          </w:p>
          <w:p>
            <w:pPr>
              <w:numPr>
                <w:ilvl w:val="0"/>
                <w:numId w:val="1"/>
              </w:numPr>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根据实际情况对人员及角色进行配置管理。</w:t>
            </w:r>
          </w:p>
        </w:tc>
      </w:tr>
      <w:tr>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系统数据对接</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项</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val="en-US" w:eastAsia="zh-CN" w:bidi="ar-SA"/>
              </w:rPr>
              <w:t>1.危险废物数据上传四川省固体废物综合管理平台,</w:t>
            </w:r>
            <w:r>
              <w:rPr>
                <w:rFonts w:hint="eastAsia" w:ascii="仿宋" w:hAnsi="仿宋" w:eastAsia="仿宋" w:cs="仿宋"/>
                <w:sz w:val="24"/>
                <w:szCs w:val="32"/>
              </w:rPr>
              <w:t>无缝对接市级平台和危险废物处置中心处置平台，完成闭环管理。</w:t>
            </w:r>
          </w:p>
        </w:tc>
      </w:tr>
      <w:tr>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便携式数字化标签终端设备</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套</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1.IP防护不低于IP65；</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2.可通过蓝牙协议与便携式打印机连接；</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3.支持4G，WIFI等连接方式；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4.软件系统功能应具备包装入库、标签打印、包装查询、企业台账、库存统计功能；</w:t>
            </w:r>
          </w:p>
          <w:p>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5.应能接入省固体废物管理平台。</w:t>
            </w:r>
          </w:p>
        </w:tc>
      </w:tr>
      <w:tr>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电子台秤</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台</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1.使用温度：0∽40℃</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储运温度：-25~55℃</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湿度≤85%RH；</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2.满足GB/T7722-2005电子台案秤标准；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3.仪表应满足RS232\RS485接口标准；</w:t>
            </w:r>
          </w:p>
          <w:p>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4.在特定环境下，如高温、易燃、腐蚀等恶劣环境，传感器应保持正常工作，可选择具有防护性的传感器。</w:t>
            </w:r>
          </w:p>
        </w:tc>
      </w:tr>
      <w:tr>
        <w:tblPrEx>
          <w:tblCellMar>
            <w:top w:w="0" w:type="dxa"/>
            <w:left w:w="108" w:type="dxa"/>
            <w:bottom w:w="0" w:type="dxa"/>
            <w:right w:w="108" w:type="dxa"/>
          </w:tblCellMar>
        </w:tblPrEx>
        <w:trPr>
          <w:trHeight w:val="468"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eastAsia="zh-CN"/>
              </w:rPr>
              <w:t>打印机</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eastAsia="zh-CN"/>
              </w:rPr>
              <w:t>台</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eastAsia="zh-CN"/>
              </w:rPr>
              <w:t>打印方式：</w:t>
            </w:r>
            <w:r>
              <w:rPr>
                <w:rFonts w:hint="eastAsia" w:ascii="仿宋" w:hAnsi="仿宋" w:eastAsia="仿宋" w:cs="仿宋"/>
                <w:color w:val="000000"/>
                <w:kern w:val="0"/>
                <w:sz w:val="24"/>
                <w:szCs w:val="24"/>
              </w:rPr>
              <w:t>热敏</w:t>
            </w:r>
            <w:r>
              <w:rPr>
                <w:rFonts w:hint="eastAsia" w:ascii="仿宋" w:hAnsi="仿宋" w:eastAsia="仿宋" w:cs="仿宋"/>
                <w:color w:val="000000"/>
                <w:kern w:val="0"/>
                <w:sz w:val="24"/>
                <w:szCs w:val="24"/>
                <w:lang w:eastAsia="zh-CN"/>
              </w:rPr>
              <w:t>；通讯接口：</w:t>
            </w:r>
            <w:r>
              <w:rPr>
                <w:rFonts w:hint="eastAsia" w:ascii="仿宋" w:hAnsi="仿宋" w:eastAsia="仿宋" w:cs="仿宋"/>
                <w:color w:val="000000"/>
                <w:kern w:val="0"/>
                <w:sz w:val="24"/>
                <w:szCs w:val="24"/>
              </w:rPr>
              <w:t>USB+蓝牙(可选配WIFI版)</w:t>
            </w:r>
            <w:r>
              <w:rPr>
                <w:rFonts w:hint="eastAsia" w:ascii="仿宋" w:hAnsi="仿宋" w:eastAsia="仿宋" w:cs="仿宋"/>
                <w:color w:val="000000"/>
                <w:kern w:val="0"/>
                <w:sz w:val="24"/>
                <w:szCs w:val="24"/>
                <w:lang w:eastAsia="zh-CN"/>
              </w:rPr>
              <w:t>；分辨率：</w:t>
            </w:r>
            <w:r>
              <w:rPr>
                <w:rFonts w:hint="eastAsia" w:ascii="仿宋" w:hAnsi="仿宋" w:eastAsia="仿宋" w:cs="仿宋"/>
                <w:color w:val="000000"/>
                <w:kern w:val="0"/>
                <w:sz w:val="24"/>
                <w:szCs w:val="24"/>
              </w:rPr>
              <w:t>203DPI</w:t>
            </w:r>
            <w:r>
              <w:rPr>
                <w:rFonts w:hint="eastAsia" w:ascii="仿宋" w:hAnsi="仿宋" w:eastAsia="仿宋" w:cs="仿宋"/>
                <w:color w:val="000000"/>
                <w:kern w:val="0"/>
                <w:sz w:val="24"/>
                <w:szCs w:val="24"/>
                <w:lang w:eastAsia="zh-CN"/>
              </w:rPr>
              <w:t>；纸张类型：</w:t>
            </w:r>
            <w:r>
              <w:rPr>
                <w:rFonts w:hint="eastAsia" w:ascii="仿宋" w:hAnsi="仿宋" w:eastAsia="仿宋" w:cs="仿宋"/>
                <w:color w:val="000000"/>
                <w:kern w:val="0"/>
                <w:sz w:val="24"/>
                <w:szCs w:val="24"/>
              </w:rPr>
              <w:t>热敏纸、不干胶标签纸等</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操作环境：5～45℃(41～104°F),25～85%不结露  储存环境： -10～50℃(-10～140F),10～90%不结露</w:t>
            </w:r>
          </w:p>
        </w:tc>
      </w:tr>
      <w:tr>
        <w:tblPrEx>
          <w:tblCellMar>
            <w:top w:w="0" w:type="dxa"/>
            <w:left w:w="108" w:type="dxa"/>
            <w:bottom w:w="0" w:type="dxa"/>
            <w:right w:w="108" w:type="dxa"/>
          </w:tblCellMar>
        </w:tblPrEx>
        <w:trPr>
          <w:trHeight w:val="1359"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6</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监控摄像头</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4 </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个</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完成现场安装</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满足《四川省危险废物物联网监管系统建设技术要求》。</w:t>
            </w:r>
          </w:p>
        </w:tc>
      </w:tr>
      <w:tr>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7</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网络硬盘录像机</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视频录像至少保存90天。</w:t>
            </w:r>
          </w:p>
        </w:tc>
      </w:tr>
      <w:tr>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8</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交换机</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tc>
      </w:tr>
      <w:tr>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9</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视频监控联网</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负责网络连接，视频监控数据与</w:t>
            </w:r>
            <w:r>
              <w:rPr>
                <w:rFonts w:hint="eastAsia" w:ascii="仿宋" w:hAnsi="仿宋" w:eastAsia="仿宋" w:cs="仿宋"/>
                <w:color w:val="000000"/>
                <w:kern w:val="0"/>
                <w:sz w:val="24"/>
                <w:szCs w:val="24"/>
                <w:lang w:eastAsia="zh-CN"/>
              </w:rPr>
              <w:t>内江市生态环境视频接入中心</w:t>
            </w:r>
            <w:r>
              <w:rPr>
                <w:rFonts w:hint="eastAsia" w:ascii="仿宋" w:hAnsi="仿宋" w:eastAsia="仿宋" w:cs="仿宋"/>
                <w:color w:val="000000"/>
                <w:kern w:val="0"/>
                <w:sz w:val="24"/>
                <w:szCs w:val="24"/>
              </w:rPr>
              <w:t>对接。</w:t>
            </w:r>
          </w:p>
        </w:tc>
      </w:tr>
      <w:tr>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危废数字化标签纸</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满足《危险废物识别标志设置技术规范》（HJ 1276—2022）及《四川省危险废物物联网监管系统建设技术要求》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规格型号</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100*100mm</w:t>
            </w:r>
          </w:p>
        </w:tc>
      </w:tr>
      <w:tr>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1</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维保服务</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年，含网络运营费、标签纸提供费、设备设施维护费等。</w:t>
            </w:r>
          </w:p>
        </w:tc>
        <w:tc>
          <w:tcPr>
            <w:tcW w:w="1922"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000000"/>
                <w:kern w:val="0"/>
                <w:sz w:val="24"/>
                <w:szCs w:val="24"/>
                <w:lang w:val="en-US" w:eastAsia="zh-CN"/>
              </w:rPr>
            </w:pPr>
            <w:r>
              <w:rPr>
                <w:rFonts w:hint="eastAsia" w:ascii="仿宋" w:hAnsi="仿宋" w:eastAsia="仿宋" w:cs="仿宋"/>
                <w:kern w:val="0"/>
                <w:sz w:val="24"/>
                <w:szCs w:val="24"/>
              </w:rPr>
              <w:t>要求实行本地化服务，在收到采购单位服务函电后，0.5 小时内作出响应，1 小时内作出解决方案，如远程支持无法解决，6 小时内到达现场，24 小时内排除并修复故障。要求提供相应的备品、备件，以保证设备正常运行。</w:t>
            </w:r>
            <w:r>
              <w:rPr>
                <w:rFonts w:hint="eastAsia" w:ascii="仿宋" w:hAnsi="仿宋" w:eastAsia="仿宋" w:cs="仿宋"/>
                <w:kern w:val="0"/>
                <w:sz w:val="24"/>
                <w:szCs w:val="24"/>
                <w:lang w:eastAsia="zh-CN"/>
              </w:rPr>
              <w:t>有</w:t>
            </w:r>
            <w:r>
              <w:rPr>
                <w:rFonts w:hint="eastAsia" w:ascii="仿宋" w:hAnsi="仿宋" w:eastAsia="仿宋" w:cs="仿宋"/>
                <w:kern w:val="0"/>
                <w:sz w:val="24"/>
                <w:szCs w:val="24"/>
                <w:lang w:val="en-US" w:eastAsia="zh-CN"/>
              </w:rPr>
              <w:t>相关</w:t>
            </w:r>
            <w:r>
              <w:rPr>
                <w:rFonts w:hint="eastAsia" w:ascii="仿宋" w:hAnsi="仿宋" w:eastAsia="仿宋" w:cs="仿宋"/>
                <w:kern w:val="0"/>
                <w:sz w:val="24"/>
                <w:szCs w:val="24"/>
                <w:lang w:eastAsia="zh-CN"/>
              </w:rPr>
              <w:t>服务人员且可以进行24小时及时响应</w:t>
            </w:r>
            <w:r>
              <w:rPr>
                <w:rFonts w:hint="eastAsia" w:ascii="仿宋" w:hAnsi="仿宋" w:eastAsia="仿宋" w:cs="仿宋"/>
                <w:kern w:val="0"/>
                <w:sz w:val="24"/>
                <w:szCs w:val="24"/>
                <w:lang w:val="en-US" w:eastAsia="zh-CN"/>
              </w:rPr>
              <w:t>。</w:t>
            </w:r>
          </w:p>
        </w:tc>
      </w:tr>
    </w:tbl>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三、其他要求</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负责对本采购项目产品按国家相关规范和标准要求进行安装调试，现场安装应符合国家环保、消防相关技术规范及地方技术要求，设备、设施符合相关技术标准及所在地行政部门要求和医院实际情况，确保设备安装点位、数据传输路径符合设备安装的条件。</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供应商承诺严格按照规范安全文明施工，负责施工的防火防盗及设备的保管和生产安全工作。如发生火灾、失窃、设备毁损、人员伤亡等安全事故，由成交供应商自行负责。</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工期：完成设备供应、安装、调试、联网工期为</w:t>
      </w:r>
      <w:r>
        <w:rPr>
          <w:rFonts w:hint="eastAsia" w:ascii="仿宋" w:hAnsi="仿宋" w:eastAsia="仿宋" w:cs="仿宋"/>
          <w:sz w:val="32"/>
          <w:szCs w:val="32"/>
          <w:lang w:val="en-US" w:eastAsia="zh-CN"/>
        </w:rPr>
        <w:t>15</w:t>
      </w:r>
      <w:r>
        <w:rPr>
          <w:rFonts w:hint="eastAsia" w:ascii="仿宋" w:hAnsi="仿宋" w:eastAsia="仿宋" w:cs="仿宋"/>
          <w:sz w:val="32"/>
          <w:szCs w:val="32"/>
        </w:rPr>
        <w:t>个日历天。开工时间：具体开工时间以采购人通知进场时间为准。</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项目验收：设备现场安装调试完成，完成医院危险废物</w:t>
      </w:r>
      <w:r>
        <w:rPr>
          <w:rFonts w:hint="eastAsia" w:ascii="仿宋" w:hAnsi="仿宋" w:eastAsia="仿宋" w:cs="仿宋"/>
          <w:sz w:val="32"/>
          <w:szCs w:val="32"/>
          <w:lang w:eastAsia="zh-CN"/>
        </w:rPr>
        <w:t>物联网系统</w:t>
      </w:r>
      <w:r>
        <w:rPr>
          <w:rFonts w:hint="eastAsia" w:ascii="仿宋" w:hAnsi="仿宋" w:eastAsia="仿宋" w:cs="仿宋"/>
          <w:sz w:val="32"/>
          <w:szCs w:val="32"/>
        </w:rPr>
        <w:t>数据与四川省固体废物综合管理平台系统的对接，危险废物数据上传四川省固体废物综合管理平台，无缝对接市级平台和</w:t>
      </w:r>
      <w:r>
        <w:rPr>
          <w:rFonts w:hint="eastAsia" w:ascii="仿宋" w:hAnsi="仿宋" w:eastAsia="仿宋" w:cs="仿宋"/>
          <w:sz w:val="32"/>
          <w:szCs w:val="32"/>
          <w:lang w:val="en-US" w:eastAsia="zh-CN"/>
        </w:rPr>
        <w:t>危险废物</w:t>
      </w:r>
      <w:r>
        <w:rPr>
          <w:rFonts w:hint="eastAsia" w:ascii="仿宋" w:hAnsi="仿宋" w:eastAsia="仿宋" w:cs="仿宋"/>
          <w:sz w:val="32"/>
          <w:szCs w:val="32"/>
        </w:rPr>
        <w:t>处置中心处置平台，完成闭环管理。视频监控本地数据接入</w:t>
      </w:r>
      <w:r>
        <w:rPr>
          <w:rFonts w:hint="eastAsia" w:ascii="仿宋" w:hAnsi="仿宋" w:eastAsia="仿宋" w:cs="仿宋"/>
          <w:sz w:val="32"/>
          <w:szCs w:val="32"/>
          <w:lang w:eastAsia="zh-CN"/>
        </w:rPr>
        <w:t>内江市生态环境视频接入中心。</w:t>
      </w:r>
      <w:r>
        <w:rPr>
          <w:rFonts w:hint="eastAsia" w:ascii="仿宋" w:hAnsi="仿宋" w:eastAsia="仿宋" w:cs="仿宋"/>
          <w:sz w:val="32"/>
          <w:szCs w:val="32"/>
        </w:rPr>
        <w:t>供应商提交书面验收申请，由采购人组织对相关系统及现场进行验收。</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本项目成交价为包干价，包括设备费、运输费、人工费、安装费、网络费等一切费用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质保期1年。</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设备安装调试正常后，对院方管理人员、现场工作人员进行培训。</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9FAF2"/>
    <w:multiLevelType w:val="singleLevel"/>
    <w:tmpl w:val="4459FAF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OGU4ZmY0NmM1MWUzOTRjNzJjNDQ0YjU1NGYxMGUifQ=="/>
  </w:docVars>
  <w:rsids>
    <w:rsidRoot w:val="5B7721CE"/>
    <w:rsid w:val="125C0F27"/>
    <w:rsid w:val="40C02634"/>
    <w:rsid w:val="5B7721CE"/>
    <w:rsid w:val="7A236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2"/>
    </w:rPr>
  </w:style>
  <w:style w:type="paragraph" w:styleId="3">
    <w:name w:val="footer"/>
    <w:basedOn w:val="1"/>
    <w:qFormat/>
    <w:uiPriority w:val="99"/>
    <w:pPr>
      <w:tabs>
        <w:tab w:val="center" w:pos="4153"/>
        <w:tab w:val="right" w:pos="8306"/>
      </w:tabs>
      <w:snapToGrid w:val="0"/>
      <w:jc w:val="left"/>
    </w:pPr>
    <w:rPr>
      <w:sz w:val="18"/>
    </w:rPr>
  </w:style>
  <w:style w:type="paragraph" w:customStyle="1" w:styleId="6">
    <w:name w:val="Default"/>
    <w:qFormat/>
    <w:uiPriority w:val="6"/>
    <w:pPr>
      <w:widowControl w:val="0"/>
      <w:suppressAutoHyphens/>
      <w:kinsoku/>
      <w:overflowPunct/>
      <w:autoSpaceDE w:val="0"/>
      <w:bidi w:val="0"/>
    </w:pPr>
    <w:rPr>
      <w:rFonts w:ascii="宋体" w:hAnsi="宋体" w:eastAsia="宋体" w:cs="宋体"/>
      <w:color w:val="000000"/>
      <w:sz w:val="24"/>
      <w:szCs w:val="24"/>
      <w:lang w:val="en-US" w:eastAsia="zh-CN" w:bidi="ar-SA"/>
    </w:rPr>
  </w:style>
  <w:style w:type="paragraph" w:styleId="7">
    <w:name w:val="List Paragraph"/>
    <w:basedOn w:val="1"/>
    <w:qFormat/>
    <w:uiPriority w:val="0"/>
    <w:pPr>
      <w:ind w:firstLine="420" w:firstLineChars="200"/>
    </w:pPr>
  </w:style>
  <w:style w:type="paragraph" w:customStyle="1" w:styleId="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4512</Words>
  <Characters>4765</Characters>
  <Lines>0</Lines>
  <Paragraphs>0</Paragraphs>
  <TotalTime>1</TotalTime>
  <ScaleCrop>false</ScaleCrop>
  <LinksUpToDate>false</LinksUpToDate>
  <CharactersWithSpaces>4827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2025-07-08T07:10:00Z</dcterms:created>
  <dc:creator>四川久傲科技</dc:creator>
  <cp:lastModifiedBy>WPS_1648189929</cp:lastModifiedBy>
  <dcterms:modified xsi:type="dcterms:W3CDTF">2025-07-15T03:46:31Z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7B485EDDD5EC4F3D86C24618109DB625</vt:lpwstr>
  </property>
</Properties>
</file>