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32"/>
          <w:szCs w:val="32"/>
          <w:lang w:val="en-US" w:eastAsia="zh-CN"/>
        </w:rPr>
      </w:pPr>
      <w:bookmarkStart w:id="0" w:name="OLE_LINK1"/>
      <w:r>
        <w:rPr>
          <w:rFonts w:hint="eastAsia"/>
          <w:b/>
          <w:bCs/>
          <w:sz w:val="32"/>
          <w:szCs w:val="32"/>
          <w:lang w:val="en-US" w:eastAsia="zh-CN"/>
        </w:rPr>
        <w:t>附件1：</w:t>
      </w:r>
    </w:p>
    <w:bookmarkEnd w:id="0"/>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r>
        <w:rPr>
          <w:rFonts w:hint="eastAsia"/>
          <w:sz w:val="36"/>
          <w:szCs w:val="36"/>
          <w:lang w:val="en-US" w:eastAsia="zh-CN"/>
        </w:rPr>
        <w:t>亲水涂层脑室导管耗材配送服务采购项目需求书</w:t>
      </w: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540" w:lineRule="exact"/>
        <w:textAlignment w:val="auto"/>
        <w:rPr>
          <w:rFonts w:hint="eastAsia" w:ascii="宋体" w:hAnsi="宋体" w:eastAsia="宋体" w:cs="Times New Roman"/>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r>
        <w:rPr>
          <w:rFonts w:hint="eastAsia" w:ascii="宋体" w:hAnsi="宋体" w:eastAsia="宋体" w:cs="Times New Roman"/>
          <w:color w:val="000000"/>
          <w:sz w:val="24"/>
          <w:szCs w:val="24"/>
          <w:lang w:val="en-US" w:eastAsia="zh-CN"/>
        </w:rPr>
        <w:t>一、项目名称：亲水涂层脑室导管耗材配送服务采购项目</w:t>
      </w: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540" w:lineRule="exact"/>
        <w:textAlignment w:val="auto"/>
        <w:rPr>
          <w:rFonts w:hint="eastAsia" w:ascii="宋体" w:hAnsi="宋体" w:eastAsia="宋体" w:cs="Times New Roman"/>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r>
        <w:rPr>
          <w:rFonts w:hint="eastAsia" w:ascii="宋体" w:hAnsi="宋体" w:eastAsia="宋体" w:cs="Times New Roman"/>
          <w:color w:val="000000"/>
          <w:sz w:val="24"/>
          <w:szCs w:val="24"/>
          <w:lang w:val="en-US" w:eastAsia="zh-CN"/>
        </w:rPr>
        <w:t>二、预算总金额：4.6万元（亲水涂层脑室导管单价限价：4600元/个）。</w:t>
      </w:r>
    </w:p>
    <w:p>
      <w:pPr>
        <w:pStyle w:val="2"/>
        <w:rPr>
          <w:rFonts w:hint="eastAsia" w:ascii="宋体" w:hAnsi="宋体" w:eastAsia="宋体" w:cs="Times New Roman"/>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r>
        <w:rPr>
          <w:rFonts w:hint="eastAsia" w:ascii="宋体" w:hAnsi="宋体" w:eastAsia="宋体" w:cs="Times New Roman"/>
          <w:color w:val="000000"/>
          <w:sz w:val="24"/>
          <w:szCs w:val="24"/>
          <w:lang w:val="en-US" w:eastAsia="zh-CN"/>
        </w:rPr>
        <w:t>三、亲水涂层脑室导管参数要求：</w:t>
      </w:r>
    </w:p>
    <w:p>
      <w:pPr>
        <w:rPr>
          <w:rFonts w:hint="eastAsia"/>
          <w:lang w:val="en-US" w:eastAsia="zh-CN"/>
        </w:rPr>
      </w:pPr>
      <w:r>
        <w:rPr>
          <w:rFonts w:hint="eastAsia"/>
          <w:lang w:val="en-US" w:eastAsia="zh-CN"/>
        </w:rPr>
        <w:t>1、包装内含:导管、导丝、隧道针、鲁尔接头、尾帽</w:t>
      </w:r>
    </w:p>
    <w:p>
      <w:pPr>
        <w:rPr>
          <w:rFonts w:hint="eastAsia"/>
          <w:lang w:val="en-US" w:eastAsia="zh-CN"/>
        </w:rPr>
      </w:pPr>
      <w:r>
        <w:rPr>
          <w:rFonts w:hint="eastAsia"/>
          <w:lang w:val="en-US" w:eastAsia="zh-CN"/>
        </w:rPr>
        <w:t>2、涂层:Bioglide亲水涂层</w:t>
      </w:r>
    </w:p>
    <w:p>
      <w:pPr>
        <w:rPr>
          <w:rFonts w:hint="eastAsia"/>
          <w:lang w:val="en-US" w:eastAsia="zh-CN"/>
        </w:rPr>
      </w:pPr>
      <w:r>
        <w:rPr>
          <w:rFonts w:hint="eastAsia"/>
          <w:lang w:val="en-US" w:eastAsia="zh-CN"/>
        </w:rPr>
        <w:t>3、长度:35.5cm</w:t>
      </w:r>
      <w:bookmarkStart w:id="5" w:name="_GoBack"/>
      <w:bookmarkEnd w:id="5"/>
    </w:p>
    <w:p>
      <w:pPr>
        <w:rPr>
          <w:rFonts w:hint="eastAsia"/>
          <w:lang w:val="en-US" w:eastAsia="zh-CN"/>
        </w:rPr>
      </w:pPr>
      <w:r>
        <w:rPr>
          <w:rFonts w:hint="eastAsia"/>
          <w:lang w:val="en-US" w:eastAsia="zh-CN"/>
        </w:rPr>
        <w:t>4、内径:2.0mm，外径:3.1mm</w:t>
      </w:r>
    </w:p>
    <w:p>
      <w:pPr>
        <w:rPr>
          <w:rFonts w:hint="eastAsia"/>
          <w:lang w:val="en-US" w:eastAsia="zh-CN"/>
        </w:rPr>
      </w:pPr>
      <w:r>
        <w:rPr>
          <w:rFonts w:hint="eastAsia"/>
          <w:lang w:val="en-US" w:eastAsia="zh-CN"/>
        </w:rPr>
        <w:t>5、流出孔:前端2.4cm排布流出孔，四排四孔，大小为1.1mm</w:t>
      </w:r>
    </w:p>
    <w:p>
      <w:pPr>
        <w:rPr>
          <w:rFonts w:hint="eastAsia"/>
          <w:lang w:val="en-US" w:eastAsia="zh-CN"/>
        </w:rPr>
      </w:pPr>
      <w:r>
        <w:rPr>
          <w:rFonts w:hint="eastAsia"/>
          <w:lang w:val="en-US" w:eastAsia="zh-CN"/>
        </w:rPr>
        <w:t>6、长度标记:每1厘米一个数字，从3cm到33cm</w:t>
      </w:r>
    </w:p>
    <w:p>
      <w:pPr>
        <w:rPr>
          <w:rFonts w:hint="eastAsia"/>
          <w:lang w:val="en-US" w:eastAsia="zh-CN"/>
        </w:rPr>
      </w:pPr>
      <w:r>
        <w:rPr>
          <w:rFonts w:hint="eastAsia"/>
          <w:lang w:val="en-US" w:eastAsia="zh-CN"/>
        </w:rPr>
        <w:t>7、材质:有机硅弹性体制成，导管采用浸渍硫酸钡的有机硅弹性体管制成，导管头部呈子弹形，充填浸渍钽的有机硅弹性体，浸渍区不透x光</w:t>
      </w: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540" w:lineRule="exact"/>
        <w:ind w:left="1680" w:leftChars="0" w:hanging="1680" w:hangingChars="700"/>
        <w:textAlignment w:val="auto"/>
        <w:rPr>
          <w:rFonts w:hint="eastAsia" w:ascii="宋体" w:hAnsi="宋体" w:eastAsia="宋体" w:cs="Times New Roman"/>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r>
        <w:rPr>
          <w:rFonts w:hint="eastAsia" w:ascii="宋体" w:hAnsi="宋体" w:eastAsia="宋体" w:cs="Times New Roman"/>
          <w:color w:val="000000"/>
          <w:sz w:val="24"/>
          <w:szCs w:val="24"/>
          <w:lang w:val="en-US" w:eastAsia="zh-CN"/>
        </w:rPr>
        <w:t>四、评审办法：采用最低价评标法，符合本需求书所有实质性要求且价格最低者中标（以单价价格计算）。</w:t>
      </w:r>
    </w:p>
    <w:p>
      <w:pPr>
        <w:pStyle w:val="2"/>
        <w:rPr>
          <w:rFonts w:hint="eastAsia"/>
          <w:lang w:val="en-US" w:eastAsia="zh-CN"/>
        </w:rPr>
      </w:pPr>
      <w:r>
        <w:rPr>
          <w:rFonts w:hint="eastAsia" w:asciiTheme="minorEastAsia" w:hAnsiTheme="minorEastAsia" w:eastAsiaTheme="minorEastAsia" w:cstheme="minorEastAsia"/>
          <w:color w:val="000000"/>
          <w:sz w:val="24"/>
          <w:szCs w:val="24"/>
          <w:lang w:val="en-US" w:eastAsia="zh-CN"/>
        </w:rPr>
        <w:t>★</w:t>
      </w:r>
      <w:r>
        <w:rPr>
          <w:rFonts w:hint="eastAsia"/>
          <w:lang w:val="en-US" w:eastAsia="zh-CN"/>
        </w:rPr>
        <w:t>五、服务要求</w:t>
      </w:r>
    </w:p>
    <w:p>
      <w:pPr>
        <w:pStyle w:val="8"/>
        <w:wordWrap w:val="0"/>
        <w:topLinePunct/>
        <w:spacing w:after="0"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需负责产品的运输、现场搬运和入库，有关运输和保险的一切费用以及运输过程中的风险由供应商承担。在配送合作服务期间，需按照医院规定向医院相关管理部门提供所有相关的质量检测报告及相应资质证件。（提供承诺函）</w:t>
      </w:r>
    </w:p>
    <w:p>
      <w:pPr>
        <w:pStyle w:val="8"/>
        <w:wordWrap w:val="0"/>
        <w:topLinePunct/>
        <w:spacing w:after="0"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2.供应商配送产品需符合国家各级监督管理部门规定的质量标准，确保临床使用安全有效。产品有效期应满足医院的要求，若有效期内出现质量问题由供应商负责退换货。</w:t>
      </w:r>
    </w:p>
    <w:p>
      <w:pPr>
        <w:pStyle w:val="2"/>
        <w:wordWrap w:val="0"/>
        <w:topLinePunct/>
        <w:spacing w:after="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3.供应商配送的产品应按标准保护措施进行包装，确保产品安全无损运抵指定地点。对于破损产品需按医院的要求进行及时调换。</w:t>
      </w:r>
    </w:p>
    <w:p>
      <w:pPr>
        <w:wordWrap w:val="0"/>
        <w:topLinePunct/>
        <w:spacing w:after="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4.供应商配送的产品必须是正品正货，包装和内容一致，对所配送产品质量承担全部责任。供应商应保证医院在使用配送产品时免受第三方提出的有关专利权、商标权、销售权或保护期等方面的权利要求。</w:t>
      </w:r>
    </w:p>
    <w:p>
      <w:pPr>
        <w:pStyle w:val="2"/>
        <w:wordWrap w:val="0"/>
        <w:topLinePunct/>
        <w:spacing w:after="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5.供应商配送产品必须达到质量管理体系要求，符合国家有关法律法规规定，符合采购人对产品的性能验证要求，在使用中对不符合要求的耗材必需立即更换。</w:t>
      </w:r>
    </w:p>
    <w:p>
      <w:pPr>
        <w:wordWrap w:val="0"/>
        <w:topLinePunct/>
        <w:spacing w:after="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6.供应商必须严格遵守出入库管理的相关要求和流程，积极配合医疗物料采购部库管人员做好入库和结算的相关工作。否则，后果由成交单位承担。</w:t>
      </w:r>
    </w:p>
    <w:p>
      <w:pPr>
        <w:pStyle w:val="2"/>
        <w:wordWrap w:val="0"/>
        <w:topLinePunct/>
        <w:spacing w:after="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7.满足24小时内配送，在招标人要求的任意时间内送到；满足紧急情况下2小时内配送至招标人指定地点。</w:t>
      </w:r>
    </w:p>
    <w:p>
      <w:pPr>
        <w:wordWrap w:val="0"/>
        <w:topLinePunct/>
        <w:spacing w:after="0" w:line="360" w:lineRule="auto"/>
        <w:ind w:firstLine="480" w:firstLineChars="200"/>
        <w:jc w:val="left"/>
        <w:rPr>
          <w:rFonts w:hint="default"/>
          <w:lang w:val="en-US" w:eastAsia="zh-CN"/>
        </w:rPr>
      </w:pPr>
      <w:r>
        <w:rPr>
          <w:rFonts w:hint="eastAsia" w:ascii="宋体" w:hAnsi="宋体" w:cs="宋体"/>
          <w:color w:val="000000" w:themeColor="text1"/>
          <w:sz w:val="24"/>
          <w14:textFill>
            <w14:solidFill>
              <w14:schemeClr w14:val="tx1"/>
            </w14:solidFill>
          </w14:textFill>
        </w:rPr>
        <w:t>8.纳入医用耗材招采管理子系统与监管平台集中挂网阳光采购目录内的产品，实行集中挂网阳光采购;成交供应商必须保证其配送产品阳光平台数据的顺利上报。</w:t>
      </w:r>
    </w:p>
    <w:p>
      <w:pPr>
        <w:keepNext w:val="0"/>
        <w:keepLines w:val="0"/>
        <w:pageBreakBefore w:val="0"/>
        <w:widowControl/>
        <w:tabs>
          <w:tab w:val="left" w:pos="7665"/>
        </w:tabs>
        <w:kinsoku/>
        <w:wordWrap/>
        <w:overflowPunct/>
        <w:topLinePunct w:val="0"/>
        <w:autoSpaceDE/>
        <w:autoSpaceDN/>
        <w:bidi w:val="0"/>
        <w:adjustRightInd/>
        <w:snapToGrid/>
        <w:spacing w:line="540" w:lineRule="exact"/>
        <w:textAlignment w:val="auto"/>
        <w:rPr>
          <w:rFonts w:hint="eastAsia" w:ascii="宋体" w:hAnsi="宋体" w:eastAsia="宋体" w:cs="Times New Roman"/>
          <w:b/>
          <w:bCs/>
          <w:color w:val="000000"/>
          <w:sz w:val="24"/>
          <w:szCs w:val="24"/>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Times New Roman"/>
          <w:color w:val="000000"/>
          <w:sz w:val="24"/>
          <w:szCs w:val="24"/>
          <w:lang w:val="en-US" w:eastAsia="zh-CN"/>
        </w:rPr>
        <w:t>、商务要求</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1.服务期限：合同签订之日起三年，合同一年一签。经采购人考核合格后方可续签下一年合同。</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2.服务地点：内江市第二人民医院（采购人指定地点）。</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3.配送时间要求：按采购人实际需求的时间要求配送货物。</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4.报价要求：每个产品报价均不能高于该投标产品在“药品和医用耗材招采管理系统”的挂网最低价格和本招标文件的最高单价限价。（本项目报价得分按所有产品单价合计金额进行计算）</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5、结算方式：</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5.1分批次据实结算。</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5.2结算金额＝∑各品种配送时确定的单价×各品种实际入库数量。</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5.3采购人在收到成交供应商的正式发票和付款凭证后按照医院支付流程，以银行转账形式支付。</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6、医用耗材质量保证</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6.1供应商需提供全新、全面、合格，符合国家标准的货物。</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6.2供应商应根据订单数量，按时且保质保量送达交货地点，且要保证配送产品来源渠道的合法合规性。</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6.3供应商所供产品必须符合国家医疗器械质量标准和相关要求，确保临床使用安全有效，在正常使用下不应对使用者造成任何人身伤害。如因产品质量或标示不明确而对使用者造成损失的，由供应商承担相应责任。</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6.4产品包装要求（如涉及）：包装袋（箱）应干净、结实、无破损、封口严密，方便储存、运输和使用；在每件包装上须注明产品注册证名称、产品注册证号、产地、生产厂家、批号、包装规格、生产日期、产品保质有效期、质量合格标志等（需无菌包装的耗材必须保证符合无菌要求）。</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6.5供应商需向采购人提供及时有效的技术支持。</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6.6供应商必须遵守采购人关于耗材管理的相关规定。</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6.7配送产品到达指定地点后，采购人将对配送产品的相关国家强制要求的证书资质（产品注册证/备案凭证、生产企业许可证、经营企业许可证、营业执照等）、票据、质量合格证明、有效期、包装、中文说明书、订单数量等资料及信息进行查验，对查验不符的产品，采购人有权拒绝接收。</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6.8供应商保证所供耗材有效期不低于1年，自通过最终验收之日起，确保采购人在使用耗材的过程中安全、有效。</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6.9耗材临近失效期，采购人提前三个月向中标人提出更换，中标人须在耗材失效前一个月更换完毕，不得以任何理由进行推诿。</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6.10供应商提供的产品在临床使用中效果欠佳，采购人有权要求供应商更换同类产品。</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7、如遇集中采购、政府带量采购等国家相关政策变化或采购人制度管理变更需要发生调整，采购人有权终止合同，执行最新的政策和要求，且不承担任何违约责任。</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8、合同有效期内，项目清单中产品凡是纳入网上集中采购的医用耗材，应在公示后10个工作日内以书面形式告知采购人，应按照四川省医疗保障局下发的《四川省医药机构医用耗材集中采购实施方案》要求进行挂网采购，且挂网采购价格不应高于“药品和医用耗材招采管理系统”的挂网最低价格和采购成交价中的任一价格。若因供应商或厂家原因无法按上述要求执行的，则采购人可以不再采购无法按照前述要求执行的相应产品，且不承担任何违约责任。</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9、成交供应商在在服务期内，因自身原因造成采购合同终止，因此产生的所有经济损失由成交供应商自行承担，如给采购人造成的经济损失的，还应赔偿采购人全部损失。</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10、验收标准：</w:t>
      </w:r>
    </w:p>
    <w:p>
      <w:pPr>
        <w:wordWrap w:val="0"/>
        <w:topLinePunct/>
        <w:spacing w:after="0" w:line="360" w:lineRule="auto"/>
        <w:ind w:firstLine="480" w:firstLineChars="200"/>
        <w:jc w:val="left"/>
        <w:textAlignment w:val="top"/>
        <w:rPr>
          <w:rFonts w:ascii="宋体" w:hAnsi="宋体" w:cs="宋体"/>
          <w:sz w:val="24"/>
        </w:rPr>
      </w:pPr>
      <w:r>
        <w:rPr>
          <w:rFonts w:hint="eastAsia" w:ascii="宋体" w:hAnsi="宋体" w:cs="宋体"/>
          <w:sz w:val="24"/>
        </w:rPr>
        <w:t>采购人对不符合质量、有效期、包装、订单数量和双方约定的其他要求的产品，有权拒绝接收，供应商应对不符合要求的产品及时进行更换，不得影响采购人的临床使用。验收时采购人有权对所配送产品资质、票据、质量合格证明、中文说明书原件等信息进行查验。</w:t>
      </w:r>
    </w:p>
    <w:p>
      <w:pPr>
        <w:keepNext w:val="0"/>
        <w:keepLines w:val="0"/>
        <w:pageBreakBefore w:val="0"/>
        <w:widowControl/>
        <w:tabs>
          <w:tab w:val="left" w:pos="7665"/>
        </w:tabs>
        <w:kinsoku/>
        <w:wordWrap/>
        <w:overflowPunct/>
        <w:topLinePunct w:val="0"/>
        <w:autoSpaceDE/>
        <w:autoSpaceDN/>
        <w:bidi w:val="0"/>
        <w:adjustRightInd/>
        <w:snapToGrid/>
        <w:spacing w:line="540" w:lineRule="exact"/>
        <w:ind w:firstLine="720" w:firstLineChars="3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pPr>
        <w:pStyle w:val="3"/>
        <w:keepNext/>
        <w:keepLines/>
        <w:pageBreakBefore w:val="0"/>
        <w:widowControl w:val="0"/>
        <w:kinsoku/>
        <w:wordWrap/>
        <w:overflowPunct/>
        <w:topLinePunct w:val="0"/>
        <w:autoSpaceDE/>
        <w:autoSpaceDN/>
        <w:bidi w:val="0"/>
        <w:adjustRightInd/>
        <w:snapToGrid/>
        <w:spacing w:line="240" w:lineRule="auto"/>
        <w:ind w:left="482" w:hanging="482" w:hangingChars="200"/>
        <w:jc w:val="both"/>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注：带★的要求为实质性条款，不满足作无效响应处理（本项目所有实质性要求均可以承诺函的形式进行承诺）。</w:t>
      </w: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color w:val="000000"/>
          <w:sz w:val="24"/>
          <w:szCs w:val="24"/>
          <w:lang w:val="en-US" w:eastAsia="zh-CN"/>
        </w:rPr>
      </w:pPr>
    </w:p>
    <w:p>
      <w:pPr>
        <w:pStyle w:val="2"/>
        <w:rPr>
          <w:rFonts w:hint="eastAsia"/>
          <w:lang w:val="en-US" w:eastAsia="zh-CN"/>
        </w:rPr>
        <w:sectPr>
          <w:pgSz w:w="11906" w:h="16838"/>
          <w:pgMar w:top="1984" w:right="1361" w:bottom="1984" w:left="1531" w:header="851" w:footer="992" w:gutter="0"/>
          <w:cols w:space="720" w:num="1"/>
          <w:docGrid w:type="lines" w:linePitch="327" w:charSpace="0"/>
        </w:sectPr>
      </w:pPr>
    </w:p>
    <w:p>
      <w:pPr>
        <w:rPr>
          <w:rFonts w:hint="eastAsia"/>
          <w:lang w:val="en-US" w:eastAsia="zh-CN"/>
        </w:rPr>
      </w:pPr>
    </w:p>
    <w:p>
      <w:pPr>
        <w:jc w:val="left"/>
        <w:rPr>
          <w:rFonts w:hint="eastAsia"/>
          <w:b w:val="0"/>
          <w:bCs/>
          <w:sz w:val="32"/>
          <w:szCs w:val="32"/>
          <w:lang w:val="en-US" w:eastAsia="zh-CN"/>
        </w:rPr>
      </w:pPr>
      <w:r>
        <w:rPr>
          <w:rFonts w:hint="eastAsia"/>
          <w:b w:val="0"/>
          <w:bCs/>
          <w:sz w:val="32"/>
          <w:szCs w:val="32"/>
          <w:lang w:val="en-US" w:eastAsia="zh-CN"/>
        </w:rPr>
        <w:t>附件2：</w:t>
      </w: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r>
        <w:rPr>
          <w:rFonts w:hint="eastAsia"/>
          <w:b/>
          <w:bCs/>
          <w:sz w:val="48"/>
          <w:szCs w:val="48"/>
          <w:lang w:val="en-US" w:eastAsia="zh-CN"/>
        </w:rPr>
        <w:t>响应文件格式</w:t>
      </w:r>
    </w:p>
    <w:p>
      <w:pPr>
        <w:pStyle w:val="2"/>
        <w:rPr>
          <w:rFonts w:hint="default"/>
          <w:lang w:val="en-US" w:eastAsia="zh-CN"/>
        </w:rPr>
        <w:sectPr>
          <w:pgSz w:w="11906" w:h="16838"/>
          <w:pgMar w:top="1984" w:right="1361" w:bottom="1984" w:left="1531" w:header="851" w:footer="992" w:gutter="0"/>
          <w:cols w:space="720" w:num="1"/>
          <w:docGrid w:type="lines" w:linePitch="327" w:charSpace="0"/>
        </w:sectPr>
      </w:pPr>
    </w:p>
    <w:p>
      <w:pPr>
        <w:rPr>
          <w:rFonts w:hint="default"/>
          <w:lang w:val="en-US" w:eastAsia="zh-CN"/>
        </w:rPr>
      </w:pPr>
    </w:p>
    <w:p>
      <w:pPr>
        <w:pStyle w:val="2"/>
        <w:jc w:val="center"/>
        <w:outlineLvl w:val="1"/>
        <w:rPr>
          <w:rFonts w:hint="eastAsia" w:ascii="仿宋" w:hAnsi="仿宋" w:eastAsia="仿宋" w:cs="仿宋"/>
          <w:b/>
          <w:color w:val="000000"/>
          <w:kern w:val="0"/>
          <w:sz w:val="32"/>
          <w:szCs w:val="32"/>
        </w:rPr>
      </w:pPr>
      <w:bookmarkStart w:id="1" w:name="_Toc25057"/>
      <w:r>
        <w:rPr>
          <w:rFonts w:hint="eastAsia" w:ascii="仿宋" w:hAnsi="仿宋" w:eastAsia="仿宋" w:cs="仿宋"/>
          <w:b/>
          <w:color w:val="000000"/>
          <w:kern w:val="0"/>
          <w:sz w:val="32"/>
          <w:szCs w:val="32"/>
        </w:rPr>
        <w:t>法定代表人授权委托书</w:t>
      </w:r>
      <w:bookmarkEnd w:id="1"/>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内江市第二人民医院：</w:t>
      </w:r>
    </w:p>
    <w:p>
      <w:pPr>
        <w:snapToGrid w:val="0"/>
        <w:spacing w:line="540" w:lineRule="exact"/>
        <w:ind w:right="480" w:firstLine="240" w:firstLineChars="100"/>
        <w:jc w:val="left"/>
        <w:rPr>
          <w:rFonts w:hint="eastAsia"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rPr>
        <w:t xml:space="preserve">（法定代表人姓名、职务）授权 </w:t>
      </w:r>
      <w:r>
        <w:rPr>
          <w:rFonts w:hint="eastAsia" w:ascii="仿宋" w:hAnsi="仿宋" w:eastAsia="仿宋" w:cs="仿宋"/>
          <w:sz w:val="24"/>
          <w:u w:val="single"/>
        </w:rPr>
        <w:t xml:space="preserve">                      </w:t>
      </w:r>
      <w:r>
        <w:rPr>
          <w:rFonts w:hint="eastAsia" w:ascii="仿宋" w:hAnsi="仿宋" w:eastAsia="仿宋" w:cs="仿宋"/>
          <w:sz w:val="24"/>
        </w:rPr>
        <w:t xml:space="preserve"> （被授权人姓名、职务）为我方 “ </w:t>
      </w:r>
      <w:r>
        <w:rPr>
          <w:rFonts w:hint="eastAsia" w:ascii="仿宋" w:hAnsi="仿宋" w:eastAsia="仿宋" w:cs="仿宋"/>
          <w:sz w:val="24"/>
          <w:u w:val="single"/>
        </w:rPr>
        <w:t xml:space="preserve">             </w:t>
      </w:r>
      <w:r>
        <w:rPr>
          <w:rFonts w:hint="eastAsia" w:ascii="仿宋" w:hAnsi="仿宋" w:eastAsia="仿宋" w:cs="仿宋"/>
          <w:sz w:val="24"/>
        </w:rPr>
        <w:t>（项目名称）” 的</w:t>
      </w:r>
      <w:r>
        <w:rPr>
          <w:rFonts w:hint="eastAsia" w:ascii="仿宋" w:hAnsi="仿宋" w:eastAsia="仿宋" w:cs="仿宋"/>
          <w:sz w:val="24"/>
          <w:lang w:val="en-US" w:eastAsia="zh-CN"/>
        </w:rPr>
        <w:t>询价</w:t>
      </w:r>
      <w:r>
        <w:rPr>
          <w:rFonts w:hint="eastAsia" w:ascii="仿宋" w:hAnsi="仿宋" w:eastAsia="仿宋" w:cs="仿宋"/>
          <w:sz w:val="24"/>
        </w:rPr>
        <w:t>活动的合法代表，以我方名义全权处理该项目有关</w:t>
      </w:r>
      <w:r>
        <w:rPr>
          <w:rFonts w:hint="eastAsia" w:ascii="仿宋" w:hAnsi="仿宋" w:eastAsia="仿宋" w:cs="仿宋"/>
          <w:sz w:val="24"/>
          <w:lang w:eastAsia="zh-CN"/>
        </w:rPr>
        <w:t>响应</w:t>
      </w:r>
      <w:r>
        <w:rPr>
          <w:rFonts w:hint="eastAsia" w:ascii="仿宋" w:hAnsi="仿宋" w:eastAsia="仿宋" w:cs="仿宋"/>
          <w:sz w:val="24"/>
        </w:rPr>
        <w:t>、签订合同以及执行合同等一切事宜。</w:t>
      </w: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代理人无转委托权，本授权书自</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年</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日</w:t>
      </w:r>
      <w:r>
        <w:rPr>
          <w:rFonts w:hint="eastAsia" w:ascii="仿宋" w:hAnsi="仿宋" w:eastAsia="仿宋" w:cs="仿宋"/>
          <w:sz w:val="24"/>
          <w:lang w:val="zh-CN"/>
        </w:rPr>
        <w:t>签字生效。</w:t>
      </w:r>
    </w:p>
    <w:p>
      <w:pPr>
        <w:snapToGrid w:val="0"/>
        <w:spacing w:line="540" w:lineRule="exact"/>
        <w:ind w:right="480" w:firstLine="240" w:firstLineChars="100"/>
        <w:jc w:val="left"/>
        <w:rPr>
          <w:rFonts w:hint="eastAsia" w:ascii="仿宋" w:hAnsi="仿宋" w:eastAsia="仿宋" w:cs="仿宋"/>
          <w:sz w:val="24"/>
          <w:lang w:val="zh-CN"/>
        </w:rPr>
      </w:pPr>
    </w:p>
    <w:p>
      <w:pPr>
        <w:snapToGrid w:val="0"/>
        <w:spacing w:line="540" w:lineRule="exact"/>
        <w:ind w:right="480" w:firstLine="240" w:firstLineChars="100"/>
        <w:jc w:val="left"/>
        <w:rPr>
          <w:rFonts w:hint="eastAsia" w:ascii="仿宋" w:hAnsi="仿宋" w:eastAsia="仿宋" w:cs="仿宋"/>
          <w:sz w:val="24"/>
          <w:lang w:val="zh-CN"/>
        </w:rPr>
      </w:pP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法定代表人签字或者加盖个人名章：</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w:t>
      </w: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授权代表签字或者加盖个人名章：</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w:t>
      </w:r>
    </w:p>
    <w:p>
      <w:pPr>
        <w:snapToGrid w:val="0"/>
        <w:spacing w:line="540" w:lineRule="exact"/>
        <w:ind w:right="480" w:firstLine="240" w:firstLineChars="100"/>
        <w:jc w:val="left"/>
        <w:rPr>
          <w:rFonts w:hint="eastAsia" w:ascii="仿宋" w:hAnsi="仿宋" w:eastAsia="仿宋" w:cs="仿宋"/>
          <w:sz w:val="24"/>
        </w:rPr>
        <w:sectPr>
          <w:pgSz w:w="11906" w:h="16838"/>
          <w:pgMar w:top="1984" w:right="1361" w:bottom="1984" w:left="1531" w:header="851" w:footer="992" w:gutter="0"/>
          <w:cols w:space="720" w:num="1"/>
          <w:docGrid w:type="lines" w:linePitch="327" w:charSpace="0"/>
        </w:sectPr>
      </w:pPr>
      <w:r>
        <w:rPr>
          <w:rFonts w:hint="eastAsia" w:ascii="仿宋" w:hAnsi="仿宋" w:eastAsia="仿宋" w:cs="仿宋"/>
          <w:sz w:val="24"/>
          <w:lang w:val="en-US" w:eastAsia="zh-CN"/>
        </w:rPr>
        <w:t>供应商</w:t>
      </w:r>
      <w:r>
        <w:rPr>
          <w:rFonts w:hint="eastAsia" w:ascii="仿宋" w:hAnsi="仿宋" w:eastAsia="仿宋" w:cs="仿宋"/>
          <w:sz w:val="24"/>
          <w:lang w:val="zh-CN"/>
        </w:rPr>
        <w:t>名称：</w:t>
      </w:r>
      <w:r>
        <w:rPr>
          <w:rFonts w:hint="eastAsia" w:ascii="仿宋" w:hAnsi="仿宋" w:eastAsia="仿宋" w:cs="仿宋"/>
          <w:sz w:val="24"/>
          <w:u w:val="single"/>
        </w:rPr>
        <w:t xml:space="preserve">           </w:t>
      </w:r>
      <w:r>
        <w:rPr>
          <w:rFonts w:hint="eastAsia" w:ascii="仿宋" w:hAnsi="仿宋" w:eastAsia="仿宋" w:cs="仿宋"/>
          <w:sz w:val="24"/>
          <w:u w:val="none"/>
          <w:lang w:val="zh-CN"/>
        </w:rPr>
        <w:t>（</w:t>
      </w:r>
      <w:r>
        <w:rPr>
          <w:rFonts w:hint="eastAsia" w:ascii="仿宋" w:hAnsi="仿宋" w:eastAsia="仿宋" w:cs="仿宋"/>
          <w:sz w:val="24"/>
        </w:rPr>
        <w:t>加盖单位公章</w:t>
      </w:r>
      <w:r>
        <w:rPr>
          <w:rFonts w:hint="eastAsia" w:ascii="仿宋" w:hAnsi="仿宋" w:eastAsia="仿宋" w:cs="仿宋"/>
          <w:sz w:val="24"/>
          <w:lang w:val="zh-CN"/>
        </w:rPr>
        <w:t>）</w:t>
      </w:r>
    </w:p>
    <w:p>
      <w:pPr>
        <w:pStyle w:val="2"/>
        <w:jc w:val="center"/>
        <w:outlineLvl w:val="1"/>
        <w:rPr>
          <w:rFonts w:hint="eastAsia" w:ascii="仿宋" w:hAnsi="仿宋" w:eastAsia="仿宋" w:cs="仿宋"/>
          <w:b/>
          <w:sz w:val="24"/>
        </w:rPr>
      </w:pPr>
      <w:bookmarkStart w:id="2" w:name="_Toc28284"/>
      <w:r>
        <w:rPr>
          <w:rFonts w:hint="eastAsia" w:ascii="仿宋" w:hAnsi="仿宋" w:eastAsia="仿宋" w:cs="仿宋"/>
          <w:b/>
          <w:color w:val="000000"/>
          <w:kern w:val="0"/>
          <w:sz w:val="32"/>
          <w:szCs w:val="32"/>
        </w:rPr>
        <w:t>承诺函</w:t>
      </w:r>
      <w:bookmarkEnd w:id="2"/>
    </w:p>
    <w:p>
      <w:pPr>
        <w:widowControl/>
        <w:spacing w:line="360" w:lineRule="auto"/>
        <w:jc w:val="left"/>
        <w:outlineLvl w:val="9"/>
        <w:rPr>
          <w:rFonts w:hint="eastAsia" w:ascii="仿宋" w:hAnsi="仿宋" w:eastAsia="仿宋" w:cs="仿宋"/>
          <w:sz w:val="24"/>
        </w:rPr>
      </w:pPr>
      <w:r>
        <w:rPr>
          <w:rFonts w:hint="eastAsia" w:ascii="仿宋" w:hAnsi="仿宋" w:eastAsia="仿宋" w:cs="仿宋"/>
          <w:sz w:val="24"/>
        </w:rPr>
        <w:t>内江市</w:t>
      </w:r>
      <w:r>
        <w:rPr>
          <w:rFonts w:hint="eastAsia" w:ascii="仿宋" w:hAnsi="仿宋" w:eastAsia="仿宋" w:cs="仿宋"/>
          <w:sz w:val="24"/>
          <w:lang w:eastAsia="zh-CN"/>
        </w:rPr>
        <w:t>第二</w:t>
      </w:r>
      <w:r>
        <w:rPr>
          <w:rFonts w:hint="eastAsia" w:ascii="仿宋" w:hAnsi="仿宋" w:eastAsia="仿宋" w:cs="仿宋"/>
          <w:sz w:val="24"/>
        </w:rPr>
        <w:t>人民医院：</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1"/>
        </w:numPr>
        <w:spacing w:line="360" w:lineRule="auto"/>
        <w:jc w:val="left"/>
        <w:outlineLvl w:val="9"/>
        <w:rPr>
          <w:rFonts w:hint="eastAsia"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hint="eastAsia"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hint="eastAsia"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hint="eastAsia"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hint="eastAsia" w:ascii="仿宋" w:hAnsi="仿宋" w:eastAsia="仿宋" w:cs="仿宋"/>
          <w:sz w:val="24"/>
        </w:rPr>
      </w:pPr>
      <w:r>
        <w:rPr>
          <w:rFonts w:hint="eastAsia" w:ascii="仿宋" w:hAnsi="仿宋" w:eastAsia="仿宋" w:cs="仿宋"/>
          <w:sz w:val="24"/>
        </w:rPr>
        <w:t>（五）本项目规定的其他</w:t>
      </w:r>
      <w:r>
        <w:rPr>
          <w:rFonts w:hint="eastAsia" w:ascii="仿宋" w:hAnsi="仿宋" w:eastAsia="仿宋" w:cs="仿宋"/>
          <w:sz w:val="24"/>
          <w:lang w:val="en-US" w:eastAsia="zh-CN"/>
        </w:rPr>
        <w:t>实质性</w:t>
      </w:r>
      <w:r>
        <w:rPr>
          <w:rFonts w:hint="eastAsia" w:ascii="仿宋" w:hAnsi="仿宋" w:eastAsia="仿宋" w:cs="仿宋"/>
          <w:sz w:val="24"/>
        </w:rPr>
        <w:t>要求。</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9"/>
        <w:rPr>
          <w:rFonts w:hint="eastAsia" w:ascii="仿宋" w:hAnsi="仿宋" w:eastAsia="仿宋" w:cs="仿宋"/>
          <w:sz w:val="24"/>
        </w:rPr>
      </w:pPr>
    </w:p>
    <w:p>
      <w:pPr>
        <w:widowControl/>
        <w:spacing w:line="360" w:lineRule="auto"/>
        <w:ind w:firstLine="480" w:firstLineChars="200"/>
        <w:jc w:val="left"/>
        <w:outlineLvl w:val="9"/>
        <w:rPr>
          <w:rFonts w:hint="eastAsia" w:ascii="仿宋" w:hAnsi="仿宋" w:eastAsia="仿宋" w:cs="仿宋"/>
          <w:sz w:val="24"/>
        </w:rPr>
      </w:pP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eastAsia="zh-CN"/>
        </w:rPr>
        <w:t xml:space="preserve">      </w:t>
      </w:r>
      <w:r>
        <w:rPr>
          <w:rFonts w:hint="eastAsia" w:ascii="仿宋" w:hAnsi="仿宋" w:eastAsia="仿宋" w:cs="仿宋"/>
          <w:sz w:val="24"/>
        </w:rPr>
        <w:t>年 月 日</w:t>
      </w:r>
    </w:p>
    <w:p>
      <w:pPr>
        <w:widowControl/>
        <w:spacing w:line="360" w:lineRule="auto"/>
        <w:jc w:val="left"/>
        <w:outlineLvl w:val="9"/>
        <w:rPr>
          <w:rFonts w:hint="eastAsia" w:ascii="仿宋" w:hAnsi="仿宋" w:eastAsia="仿宋" w:cs="仿宋"/>
          <w:sz w:val="24"/>
        </w:rPr>
      </w:pPr>
      <w:r>
        <w:rPr>
          <w:rFonts w:hint="eastAsia" w:ascii="仿宋" w:hAnsi="仿宋" w:eastAsia="仿宋" w:cs="仿宋"/>
          <w:sz w:val="24"/>
        </w:rPr>
        <w:t xml:space="preserve">         </w:t>
      </w:r>
    </w:p>
    <w:p>
      <w:pPr>
        <w:pStyle w:val="2"/>
        <w:rPr>
          <w:rFonts w:hint="eastAsia"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p>
    <w:p>
      <w:pPr>
        <w:pStyle w:val="2"/>
        <w:jc w:val="center"/>
        <w:outlineLvl w:val="1"/>
        <w:rPr>
          <w:rFonts w:hint="eastAsia" w:ascii="仿宋" w:hAnsi="仿宋" w:eastAsia="仿宋" w:cs="仿宋"/>
          <w:b/>
          <w:color w:val="000000"/>
          <w:kern w:val="0"/>
          <w:sz w:val="32"/>
          <w:szCs w:val="32"/>
        </w:rPr>
      </w:pPr>
      <w:bookmarkStart w:id="3" w:name="_Toc6487"/>
      <w:r>
        <w:rPr>
          <w:rFonts w:hint="eastAsia" w:ascii="仿宋" w:hAnsi="仿宋" w:eastAsia="仿宋" w:cs="仿宋"/>
          <w:b/>
          <w:color w:val="000000"/>
          <w:kern w:val="0"/>
          <w:sz w:val="32"/>
          <w:szCs w:val="32"/>
        </w:rPr>
        <w:t>供应商应当提供的资格、资质性及其他</w:t>
      </w:r>
      <w:bookmarkEnd w:id="3"/>
    </w:p>
    <w:p>
      <w:pPr>
        <w:pStyle w:val="2"/>
        <w:jc w:val="center"/>
        <w:outlineLvl w:val="9"/>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pPr>
        <w:pStyle w:val="8"/>
        <w:jc w:val="center"/>
        <w:rPr>
          <w:rFonts w:hint="eastAsia" w:ascii="仿宋" w:hAnsi="仿宋" w:eastAsia="仿宋" w:cs="仿宋"/>
          <w:sz w:val="28"/>
          <w:szCs w:val="28"/>
        </w:rPr>
      </w:pPr>
      <w:r>
        <w:rPr>
          <w:rFonts w:hint="eastAsia" w:ascii="仿宋" w:hAnsi="仿宋" w:eastAsia="仿宋" w:cs="仿宋"/>
          <w:sz w:val="28"/>
          <w:szCs w:val="28"/>
        </w:rPr>
        <w:t>（供应商提供加盖公司鲜章的书面证明材料）</w:t>
      </w:r>
    </w:p>
    <w:p>
      <w:pPr>
        <w:rPr>
          <w:rFonts w:hint="eastAsia" w:ascii="仿宋" w:hAnsi="仿宋" w:eastAsia="仿宋" w:cs="仿宋"/>
          <w:sz w:val="28"/>
          <w:szCs w:val="28"/>
        </w:rPr>
      </w:pPr>
      <w:r>
        <w:rPr>
          <w:rFonts w:hint="eastAsia" w:ascii="仿宋" w:hAnsi="仿宋" w:eastAsia="仿宋" w:cs="仿宋"/>
          <w:sz w:val="28"/>
          <w:szCs w:val="28"/>
        </w:rPr>
        <w:br w:type="page"/>
      </w:r>
    </w:p>
    <w:p>
      <w:pPr>
        <w:pStyle w:val="7"/>
        <w:rPr>
          <w:rFonts w:hint="eastAsia"/>
        </w:rPr>
        <w:sectPr>
          <w:footerReference r:id="rId3" w:type="default"/>
          <w:pgSz w:w="11906" w:h="16838"/>
          <w:pgMar w:top="1440" w:right="1803" w:bottom="1440" w:left="1803" w:header="851" w:footer="992" w:gutter="0"/>
          <w:cols w:space="720" w:num="1"/>
          <w:docGrid w:type="lines" w:linePitch="321" w:charSpace="0"/>
        </w:sectPr>
      </w:pPr>
    </w:p>
    <w:p>
      <w:pPr>
        <w:jc w:val="center"/>
        <w:outlineLvl w:val="1"/>
        <w:rPr>
          <w:rFonts w:ascii="宋体" w:hAnsi="宋体" w:eastAsia="宋体" w:cs="Times New Roman"/>
          <w:b/>
          <w:color w:val="000000"/>
          <w:kern w:val="0"/>
          <w:sz w:val="32"/>
          <w:szCs w:val="32"/>
        </w:rPr>
      </w:pPr>
      <w:bookmarkStart w:id="4" w:name="_Toc8445"/>
      <w:r>
        <w:rPr>
          <w:rFonts w:ascii="宋体" w:hAnsi="宋体" w:eastAsia="宋体" w:cs="Times New Roman"/>
          <w:b/>
          <w:color w:val="000000"/>
          <w:kern w:val="0"/>
          <w:sz w:val="32"/>
          <w:szCs w:val="32"/>
        </w:rPr>
        <w:t>报价表</w:t>
      </w:r>
      <w:bookmarkEnd w:id="4"/>
    </w:p>
    <w:p>
      <w:pPr>
        <w:pStyle w:val="2"/>
        <w:ind w:firstLine="360" w:firstLineChars="150"/>
        <w:jc w:val="left"/>
        <w:outlineLvl w:val="9"/>
        <w:rPr>
          <w:rFonts w:ascii="仿宋" w:hAnsi="仿宋" w:eastAsia="仿宋" w:cs="仿宋"/>
          <w:sz w:val="24"/>
        </w:rPr>
      </w:pPr>
      <w:r>
        <w:rPr>
          <w:rFonts w:hint="eastAsia" w:ascii="仿宋" w:hAnsi="仿宋" w:eastAsia="仿宋" w:cs="仿宋"/>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12"/>
        <w:tblW w:w="4998" w:type="pct"/>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0" w:type="dxa"/>
          <w:bottom w:w="0" w:type="dxa"/>
          <w:right w:w="0" w:type="dxa"/>
        </w:tblCellMar>
      </w:tblPr>
      <w:tblGrid>
        <w:gridCol w:w="833"/>
        <w:gridCol w:w="1651"/>
        <w:gridCol w:w="1141"/>
        <w:gridCol w:w="1039"/>
        <w:gridCol w:w="1242"/>
        <w:gridCol w:w="1242"/>
        <w:gridCol w:w="116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45" w:hRule="atLeast"/>
        </w:trPr>
        <w:tc>
          <w:tcPr>
            <w:tcW w:w="501" w:type="pct"/>
            <w:tcBorders>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序号</w:t>
            </w:r>
          </w:p>
        </w:tc>
        <w:tc>
          <w:tcPr>
            <w:tcW w:w="993"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产品名称</w:t>
            </w:r>
          </w:p>
          <w:p>
            <w:pPr>
              <w:widowControl/>
              <w:jc w:val="center"/>
              <w:rPr>
                <w:rFonts w:hint="eastAsia" w:ascii="仿宋" w:hAnsi="仿宋" w:eastAsia="仿宋" w:cs="仿宋"/>
                <w:sz w:val="24"/>
                <w:lang w:eastAsia="zh-CN"/>
              </w:rPr>
            </w:pP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服务内容</w:t>
            </w:r>
            <w:r>
              <w:rPr>
                <w:rFonts w:hint="eastAsia" w:ascii="仿宋" w:hAnsi="仿宋" w:eastAsia="仿宋" w:cs="仿宋"/>
                <w:color w:val="0000FF"/>
                <w:sz w:val="24"/>
                <w:lang w:eastAsia="zh-CN"/>
              </w:rPr>
              <w:t>）</w:t>
            </w:r>
          </w:p>
        </w:tc>
        <w:tc>
          <w:tcPr>
            <w:tcW w:w="686"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单</w:t>
            </w:r>
            <w:r>
              <w:rPr>
                <w:rFonts w:hint="eastAsia" w:ascii="仿宋" w:hAnsi="仿宋" w:eastAsia="仿宋" w:cs="仿宋"/>
                <w:sz w:val="24"/>
              </w:rPr>
              <w:tab/>
            </w:r>
            <w:r>
              <w:rPr>
                <w:rFonts w:hint="eastAsia" w:ascii="仿宋" w:hAnsi="仿宋" w:eastAsia="仿宋" w:cs="仿宋"/>
                <w:sz w:val="24"/>
              </w:rPr>
              <w:t>位</w:t>
            </w:r>
          </w:p>
        </w:tc>
        <w:tc>
          <w:tcPr>
            <w:tcW w:w="625"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数 量</w:t>
            </w:r>
          </w:p>
        </w:tc>
        <w:tc>
          <w:tcPr>
            <w:tcW w:w="747"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单 价</w:t>
            </w:r>
          </w:p>
          <w:p>
            <w:pPr>
              <w:widowControl/>
              <w:jc w:val="center"/>
              <w:rPr>
                <w:rFonts w:hint="eastAsia" w:ascii="仿宋" w:hAnsi="仿宋" w:eastAsia="仿宋" w:cs="仿宋"/>
                <w:sz w:val="24"/>
              </w:rPr>
            </w:pPr>
            <w:r>
              <w:rPr>
                <w:rFonts w:hint="eastAsia" w:ascii="仿宋" w:hAnsi="仿宋" w:eastAsia="仿宋" w:cs="仿宋"/>
                <w:sz w:val="24"/>
              </w:rPr>
              <w:t>（元）</w:t>
            </w:r>
          </w:p>
        </w:tc>
        <w:tc>
          <w:tcPr>
            <w:tcW w:w="747" w:type="pct"/>
            <w:tcBorders>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金 额</w:t>
            </w:r>
          </w:p>
          <w:p>
            <w:pPr>
              <w:widowControl/>
              <w:jc w:val="center"/>
              <w:rPr>
                <w:rFonts w:hint="eastAsia" w:ascii="仿宋" w:hAnsi="仿宋" w:eastAsia="仿宋" w:cs="仿宋"/>
                <w:sz w:val="24"/>
              </w:rPr>
            </w:pPr>
            <w:r>
              <w:rPr>
                <w:rFonts w:hint="eastAsia" w:ascii="仿宋" w:hAnsi="仿宋" w:eastAsia="仿宋" w:cs="仿宋"/>
                <w:sz w:val="24"/>
              </w:rPr>
              <w:t>（元）</w:t>
            </w:r>
          </w:p>
        </w:tc>
        <w:tc>
          <w:tcPr>
            <w:tcW w:w="697" w:type="pct"/>
            <w:tcBorders>
              <w:left w:val="single" w:color="000000" w:sz="6" w:space="0"/>
              <w:bottom w:val="single" w:color="000000" w:sz="6" w:space="0"/>
            </w:tcBorders>
            <w:noWrap w:val="0"/>
            <w:vAlign w:val="center"/>
          </w:tcPr>
          <w:p>
            <w:pPr>
              <w:widowControl/>
              <w:jc w:val="center"/>
              <w:rPr>
                <w:rFonts w:hint="eastAsia" w:ascii="仿宋" w:hAnsi="仿宋" w:eastAsia="仿宋" w:cs="仿宋"/>
                <w:sz w:val="24"/>
              </w:rPr>
            </w:pPr>
            <w:r>
              <w:rPr>
                <w:rFonts w:hint="eastAsia" w:ascii="仿宋" w:hAnsi="仿宋" w:eastAsia="仿宋" w:cs="仿宋"/>
                <w:sz w:val="24"/>
              </w:rPr>
              <w:t>备</w:t>
            </w:r>
            <w:r>
              <w:rPr>
                <w:rFonts w:hint="eastAsia" w:ascii="仿宋" w:hAnsi="仿宋" w:eastAsia="仿宋" w:cs="仿宋"/>
                <w:sz w:val="24"/>
              </w:rPr>
              <w:tab/>
            </w:r>
            <w:r>
              <w:rPr>
                <w:rFonts w:hint="eastAsia" w:ascii="仿宋" w:hAnsi="仿宋" w:eastAsia="仿宋" w:cs="仿宋"/>
                <w:sz w:val="24"/>
              </w:rPr>
              <w:t>注</w:t>
            </w:r>
          </w:p>
          <w:p>
            <w:pPr>
              <w:pStyle w:val="2"/>
              <w:rPr>
                <w:rFonts w:hint="eastAsia" w:eastAsia="仿宋"/>
                <w:lang w:eastAsia="zh-CN"/>
              </w:rPr>
            </w:pP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若为货物采购项目，须备注品牌及型号</w:t>
            </w:r>
            <w:r>
              <w:rPr>
                <w:rFonts w:hint="eastAsia" w:ascii="仿宋" w:hAnsi="仿宋" w:eastAsia="仿宋" w:cs="仿宋"/>
                <w:color w:val="0000FF"/>
                <w:sz w:val="24"/>
                <w:lang w:eastAsia="zh-CN"/>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4" w:hRule="atLeast"/>
        </w:trPr>
        <w:tc>
          <w:tcPr>
            <w:tcW w:w="501" w:type="pct"/>
            <w:tcBorders>
              <w:top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993"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25"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97" w:type="pct"/>
            <w:tcBorders>
              <w:top w:val="single" w:color="000000" w:sz="6" w:space="0"/>
              <w:left w:val="single" w:color="000000" w:sz="6" w:space="0"/>
              <w:bottom w:val="single" w:color="000000" w:sz="6" w:space="0"/>
            </w:tcBorders>
            <w:noWrap w:val="0"/>
            <w:vAlign w:val="top"/>
          </w:tcPr>
          <w:p>
            <w:pPr>
              <w:widowControl/>
              <w:jc w:val="left"/>
              <w:rPr>
                <w:rFonts w:hint="eastAsia" w:ascii="仿宋" w:hAnsi="仿宋" w:eastAsia="仿宋" w:cs="仿宋"/>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4" w:hRule="atLeast"/>
        </w:trPr>
        <w:tc>
          <w:tcPr>
            <w:tcW w:w="501" w:type="pct"/>
            <w:tcBorders>
              <w:top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993"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25"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97" w:type="pct"/>
            <w:tcBorders>
              <w:top w:val="single" w:color="000000" w:sz="6" w:space="0"/>
              <w:left w:val="single" w:color="000000" w:sz="6" w:space="0"/>
              <w:bottom w:val="single" w:color="000000" w:sz="6" w:space="0"/>
            </w:tcBorders>
            <w:noWrap w:val="0"/>
            <w:vAlign w:val="top"/>
          </w:tcPr>
          <w:p>
            <w:pPr>
              <w:widowControl/>
              <w:jc w:val="left"/>
              <w:rPr>
                <w:rFonts w:hint="eastAsia" w:ascii="仿宋" w:hAnsi="仿宋" w:eastAsia="仿宋" w:cs="仿宋"/>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4" w:hRule="atLeast"/>
        </w:trPr>
        <w:tc>
          <w:tcPr>
            <w:tcW w:w="501" w:type="pct"/>
            <w:tcBorders>
              <w:top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993"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25"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97" w:type="pct"/>
            <w:tcBorders>
              <w:top w:val="single" w:color="000000" w:sz="6" w:space="0"/>
              <w:left w:val="single" w:color="000000" w:sz="6" w:space="0"/>
              <w:bottom w:val="single" w:color="000000" w:sz="6" w:space="0"/>
            </w:tcBorders>
            <w:noWrap w:val="0"/>
            <w:vAlign w:val="top"/>
          </w:tcPr>
          <w:p>
            <w:pPr>
              <w:widowControl/>
              <w:jc w:val="left"/>
              <w:rPr>
                <w:rFonts w:hint="eastAsia" w:ascii="仿宋" w:hAnsi="仿宋" w:eastAsia="仿宋" w:cs="仿宋"/>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794" w:hRule="atLeast"/>
        </w:trPr>
        <w:tc>
          <w:tcPr>
            <w:tcW w:w="501" w:type="pct"/>
            <w:tcBorders>
              <w:top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993"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25"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747" w:type="pct"/>
            <w:tcBorders>
              <w:top w:val="single" w:color="000000" w:sz="6" w:space="0"/>
              <w:left w:val="single" w:color="000000" w:sz="6" w:space="0"/>
              <w:bottom w:val="single" w:color="000000" w:sz="6" w:space="0"/>
              <w:right w:val="single" w:color="000000" w:sz="6" w:space="0"/>
            </w:tcBorders>
            <w:noWrap w:val="0"/>
            <w:vAlign w:val="top"/>
          </w:tcPr>
          <w:p>
            <w:pPr>
              <w:widowControl/>
              <w:jc w:val="left"/>
              <w:rPr>
                <w:rFonts w:hint="eastAsia" w:ascii="仿宋" w:hAnsi="仿宋" w:eastAsia="仿宋" w:cs="仿宋"/>
                <w:sz w:val="24"/>
              </w:rPr>
            </w:pPr>
          </w:p>
        </w:tc>
        <w:tc>
          <w:tcPr>
            <w:tcW w:w="697" w:type="pct"/>
            <w:tcBorders>
              <w:top w:val="single" w:color="000000" w:sz="6" w:space="0"/>
              <w:left w:val="single" w:color="000000" w:sz="6" w:space="0"/>
              <w:bottom w:val="single" w:color="000000" w:sz="6" w:space="0"/>
            </w:tcBorders>
            <w:noWrap w:val="0"/>
            <w:vAlign w:val="top"/>
          </w:tcPr>
          <w:p>
            <w:pPr>
              <w:widowControl/>
              <w:jc w:val="left"/>
              <w:rPr>
                <w:rFonts w:hint="eastAsia" w:ascii="仿宋" w:hAnsi="仿宋" w:eastAsia="仿宋" w:cs="仿宋"/>
                <w:sz w:val="24"/>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4" w:hRule="atLeast"/>
        </w:trPr>
        <w:tc>
          <w:tcPr>
            <w:tcW w:w="5000" w:type="pct"/>
            <w:gridSpan w:val="7"/>
            <w:tcBorders>
              <w:top w:val="single" w:color="000000" w:sz="6" w:space="0"/>
              <w:bottom w:val="single" w:color="000000" w:sz="4" w:space="0"/>
            </w:tcBorders>
            <w:noWrap w:val="0"/>
            <w:vAlign w:val="top"/>
          </w:tcPr>
          <w:p>
            <w:pPr>
              <w:widowControl/>
              <w:jc w:val="left"/>
              <w:rPr>
                <w:rFonts w:hint="eastAsia" w:ascii="仿宋" w:hAnsi="仿宋" w:eastAsia="仿宋" w:cs="仿宋"/>
                <w:sz w:val="24"/>
              </w:rPr>
            </w:pPr>
            <w:r>
              <w:rPr>
                <w:rFonts w:hint="eastAsia" w:ascii="仿宋" w:hAnsi="仿宋" w:eastAsia="仿宋" w:cs="仿宋"/>
                <w:sz w:val="24"/>
              </w:rPr>
              <w:t>分项报价合计：</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rPr>
              <w:tab/>
            </w:r>
            <w:r>
              <w:rPr>
                <w:rFonts w:hint="eastAsia" w:ascii="仿宋" w:hAnsi="仿宋" w:eastAsia="仿宋" w:cs="仿宋"/>
                <w:sz w:val="24"/>
              </w:rPr>
              <w:t xml:space="preserve">（元）， 大写： </w:t>
            </w:r>
          </w:p>
        </w:tc>
      </w:tr>
    </w:tbl>
    <w:p>
      <w:pPr>
        <w:widowControl/>
        <w:ind w:firstLine="480" w:firstLineChars="200"/>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color w:val="0000FF"/>
          <w:sz w:val="24"/>
          <w:lang w:val="en-US" w:eastAsia="zh-CN"/>
        </w:rPr>
        <w:t>报价包含</w:t>
      </w:r>
      <w:r>
        <w:rPr>
          <w:rFonts w:hint="eastAsia" w:ascii="仿宋" w:hAnsi="仿宋" w:eastAsia="仿宋" w:cs="仿宋"/>
          <w:color w:val="0000FF"/>
          <w:sz w:val="24"/>
        </w:rPr>
        <w:t>运输、安装、调试、检验、培训、调换、税金和保险等费用以及采购文件规定的其他费用均应包含在报价中。</w:t>
      </w:r>
    </w:p>
    <w:p>
      <w:pPr>
        <w:adjustRightInd w:val="0"/>
        <w:jc w:val="left"/>
        <w:rPr>
          <w:rFonts w:ascii="仿宋" w:hAnsi="仿宋" w:eastAsia="仿宋" w:cs="Times New Roman"/>
          <w:color w:val="000000"/>
          <w:kern w:val="0"/>
          <w:sz w:val="24"/>
        </w:rPr>
      </w:pPr>
    </w:p>
    <w:p>
      <w:pPr>
        <w:adjustRightInd w:val="0"/>
        <w:jc w:val="left"/>
        <w:rPr>
          <w:rFonts w:hint="eastAsia" w:ascii="仿宋" w:hAnsi="仿宋" w:eastAsia="仿宋" w:cs="Times New Roman"/>
        </w:rPr>
      </w:pPr>
      <w:r>
        <w:rPr>
          <w:rFonts w:hint="eastAsia" w:ascii="仿宋" w:hAnsi="仿宋" w:eastAsia="仿宋" w:cs="Times New Roman"/>
          <w:color w:val="000000"/>
          <w:kern w:val="0"/>
          <w:sz w:val="24"/>
        </w:rPr>
        <w:t>供应商名称 （盖章）：</w:t>
      </w:r>
    </w:p>
    <w:p>
      <w:pPr>
        <w:adjustRightInd w:val="0"/>
        <w:jc w:val="left"/>
        <w:rPr>
          <w:rFonts w:hint="eastAsia" w:ascii="仿宋" w:hAnsi="仿宋" w:eastAsia="仿宋" w:cs="Times New Roman"/>
        </w:rPr>
      </w:pPr>
      <w:r>
        <w:rPr>
          <w:rFonts w:hint="eastAsia" w:ascii="仿宋" w:hAnsi="仿宋" w:eastAsia="仿宋" w:cs="Times New Roman"/>
          <w:color w:val="000000"/>
          <w:kern w:val="0"/>
          <w:sz w:val="24"/>
        </w:rPr>
        <w:t>法定代表人或授权代表（签字）：</w:t>
      </w:r>
    </w:p>
    <w:p>
      <w:pPr>
        <w:rPr>
          <w:rFonts w:ascii="仿宋" w:hAnsi="仿宋" w:eastAsia="仿宋" w:cs="Times New Roman"/>
        </w:rPr>
      </w:pPr>
      <w:r>
        <w:rPr>
          <w:rFonts w:hint="eastAsia" w:ascii="仿宋" w:hAnsi="仿宋" w:eastAsia="仿宋" w:cs="Times New Roman"/>
          <w:color w:val="000000"/>
          <w:kern w:val="0"/>
          <w:sz w:val="24"/>
        </w:rPr>
        <w:t>日期：</w:t>
      </w:r>
      <w:r>
        <w:rPr>
          <w:rFonts w:hint="eastAsia" w:ascii="仿宋" w:hAnsi="仿宋" w:eastAsia="仿宋" w:cs="Times New Roman"/>
          <w:color w:val="000000"/>
          <w:sz w:val="24"/>
        </w:rPr>
        <w:t xml:space="preserve">    年   月    日</w:t>
      </w:r>
    </w:p>
    <w:p>
      <w:pPr>
        <w:rPr>
          <w:rFonts w:hint="default" w:hAnsi="宋体" w:cs="宋体"/>
          <w:lang w:val="en-US" w:eastAsia="zh-CN"/>
        </w:rPr>
      </w:pPr>
    </w:p>
    <w:sectPr>
      <w:footerReference r:id="rId4" w:type="default"/>
      <w:pgSz w:w="11906" w:h="16838"/>
      <w:pgMar w:top="1440" w:right="1803" w:bottom="1440" w:left="1803"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4B029"/>
    <w:multiLevelType w:val="singleLevel"/>
    <w:tmpl w:val="FC84B0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EwYjExYmFmYWNmZmQ0YzNmZWMzMDA0Mjc0ZjIifQ=="/>
  </w:docVars>
  <w:rsids>
    <w:rsidRoot w:val="5E6D6E8D"/>
    <w:rsid w:val="01351530"/>
    <w:rsid w:val="03AA4CAB"/>
    <w:rsid w:val="04021749"/>
    <w:rsid w:val="0435334B"/>
    <w:rsid w:val="04561A95"/>
    <w:rsid w:val="04A83C49"/>
    <w:rsid w:val="050339CA"/>
    <w:rsid w:val="0582670A"/>
    <w:rsid w:val="06F62224"/>
    <w:rsid w:val="088F37C7"/>
    <w:rsid w:val="09FC237C"/>
    <w:rsid w:val="0B457179"/>
    <w:rsid w:val="0C842CB4"/>
    <w:rsid w:val="0D523FC7"/>
    <w:rsid w:val="115B7EC7"/>
    <w:rsid w:val="12EE4F46"/>
    <w:rsid w:val="130D6BE9"/>
    <w:rsid w:val="135F3508"/>
    <w:rsid w:val="13E34020"/>
    <w:rsid w:val="141F1EA3"/>
    <w:rsid w:val="1438521D"/>
    <w:rsid w:val="156405A6"/>
    <w:rsid w:val="158467CE"/>
    <w:rsid w:val="15C84C56"/>
    <w:rsid w:val="164C504F"/>
    <w:rsid w:val="1666200B"/>
    <w:rsid w:val="17F43647"/>
    <w:rsid w:val="18AC1ABC"/>
    <w:rsid w:val="19875E05"/>
    <w:rsid w:val="1B1769AA"/>
    <w:rsid w:val="1BD05BB2"/>
    <w:rsid w:val="1D3631EC"/>
    <w:rsid w:val="20833818"/>
    <w:rsid w:val="218E2416"/>
    <w:rsid w:val="24427C22"/>
    <w:rsid w:val="26E517A8"/>
    <w:rsid w:val="27525524"/>
    <w:rsid w:val="276D7C21"/>
    <w:rsid w:val="285B7C77"/>
    <w:rsid w:val="28901692"/>
    <w:rsid w:val="29591B52"/>
    <w:rsid w:val="2ADC30B6"/>
    <w:rsid w:val="2BE83051"/>
    <w:rsid w:val="2C7B3874"/>
    <w:rsid w:val="2F1B0E49"/>
    <w:rsid w:val="30CD2C5D"/>
    <w:rsid w:val="314A1CA8"/>
    <w:rsid w:val="32966548"/>
    <w:rsid w:val="334F40FB"/>
    <w:rsid w:val="33904032"/>
    <w:rsid w:val="359D7B91"/>
    <w:rsid w:val="36CE700E"/>
    <w:rsid w:val="37813E56"/>
    <w:rsid w:val="37B15FE8"/>
    <w:rsid w:val="38E928FC"/>
    <w:rsid w:val="396E439F"/>
    <w:rsid w:val="3AB11182"/>
    <w:rsid w:val="3C634773"/>
    <w:rsid w:val="3CE8758D"/>
    <w:rsid w:val="3D3A2513"/>
    <w:rsid w:val="3DFF671E"/>
    <w:rsid w:val="3E124874"/>
    <w:rsid w:val="3F87320B"/>
    <w:rsid w:val="40241584"/>
    <w:rsid w:val="4043667C"/>
    <w:rsid w:val="41FC34FA"/>
    <w:rsid w:val="43113563"/>
    <w:rsid w:val="44006B48"/>
    <w:rsid w:val="440504D2"/>
    <w:rsid w:val="44237D95"/>
    <w:rsid w:val="467D4684"/>
    <w:rsid w:val="48964CB4"/>
    <w:rsid w:val="48D83371"/>
    <w:rsid w:val="48F84300"/>
    <w:rsid w:val="4B6603A8"/>
    <w:rsid w:val="4B893364"/>
    <w:rsid w:val="4CC81A16"/>
    <w:rsid w:val="4CDE032E"/>
    <w:rsid w:val="4EEC684A"/>
    <w:rsid w:val="4F1B07A8"/>
    <w:rsid w:val="4F2426FB"/>
    <w:rsid w:val="4FB67295"/>
    <w:rsid w:val="50BA7B57"/>
    <w:rsid w:val="51DB6702"/>
    <w:rsid w:val="51E660CD"/>
    <w:rsid w:val="51FF0643"/>
    <w:rsid w:val="53715789"/>
    <w:rsid w:val="5562639A"/>
    <w:rsid w:val="57A707DA"/>
    <w:rsid w:val="57D83E10"/>
    <w:rsid w:val="57F93DB8"/>
    <w:rsid w:val="5886561A"/>
    <w:rsid w:val="5A0673EC"/>
    <w:rsid w:val="5A131A8C"/>
    <w:rsid w:val="5C6E073F"/>
    <w:rsid w:val="5D5201C0"/>
    <w:rsid w:val="5E0764DB"/>
    <w:rsid w:val="5E6D6E8D"/>
    <w:rsid w:val="5F2142EE"/>
    <w:rsid w:val="613F6CAD"/>
    <w:rsid w:val="618B6943"/>
    <w:rsid w:val="618E0B06"/>
    <w:rsid w:val="628B109D"/>
    <w:rsid w:val="62DE2657"/>
    <w:rsid w:val="63C137D8"/>
    <w:rsid w:val="63DF47D9"/>
    <w:rsid w:val="667271FE"/>
    <w:rsid w:val="66AB6419"/>
    <w:rsid w:val="67566AA0"/>
    <w:rsid w:val="67780823"/>
    <w:rsid w:val="68D97066"/>
    <w:rsid w:val="6B3727A3"/>
    <w:rsid w:val="6B5B2936"/>
    <w:rsid w:val="6C8163CC"/>
    <w:rsid w:val="6CC72155"/>
    <w:rsid w:val="6D072477"/>
    <w:rsid w:val="6D5629C7"/>
    <w:rsid w:val="6D75121F"/>
    <w:rsid w:val="70B623BC"/>
    <w:rsid w:val="71AF5789"/>
    <w:rsid w:val="72A92734"/>
    <w:rsid w:val="72C309D4"/>
    <w:rsid w:val="73060765"/>
    <w:rsid w:val="73653989"/>
    <w:rsid w:val="738B271B"/>
    <w:rsid w:val="757F5556"/>
    <w:rsid w:val="75F23E97"/>
    <w:rsid w:val="77167574"/>
    <w:rsid w:val="779D1FCE"/>
    <w:rsid w:val="78D578C6"/>
    <w:rsid w:val="79BC2666"/>
    <w:rsid w:val="7A6C06BC"/>
    <w:rsid w:val="7ADB592F"/>
    <w:rsid w:val="7DC9372F"/>
    <w:rsid w:val="7DD14D9C"/>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120" w:after="120" w:line="240" w:lineRule="auto"/>
      <w:jc w:val="center"/>
      <w:outlineLvl w:val="1"/>
    </w:pPr>
    <w:rPr>
      <w:rFonts w:hAnsi="Arial"/>
      <w:b/>
      <w:bCs/>
      <w:sz w:val="32"/>
      <w:szCs w:val="32"/>
    </w:rPr>
  </w:style>
  <w:style w:type="paragraph" w:styleId="5">
    <w:name w:val="heading 3"/>
    <w:basedOn w:val="1"/>
    <w:next w:val="1"/>
    <w:qFormat/>
    <w:uiPriority w:val="0"/>
    <w:pPr>
      <w:keepNext/>
      <w:keepLines/>
      <w:spacing w:before="120" w:after="120" w:line="240" w:lineRule="auto"/>
      <w:ind w:left="200" w:leftChars="200"/>
      <w:outlineLvl w:val="2"/>
    </w:pPr>
    <w:rPr>
      <w:b/>
      <w:bCs/>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Normal Indent"/>
    <w:basedOn w:val="1"/>
    <w:next w:val="8"/>
    <w:qFormat/>
    <w:uiPriority w:val="99"/>
    <w:pPr>
      <w:ind w:firstLine="200" w:firstLineChars="200"/>
    </w:pPr>
    <w:rPr>
      <w:lang w:val="zh-CN"/>
    </w:rPr>
  </w:style>
  <w:style w:type="paragraph" w:styleId="8">
    <w:name w:val="Body Text Indent"/>
    <w:basedOn w:val="1"/>
    <w:next w:val="7"/>
    <w:qFormat/>
    <w:uiPriority w:val="0"/>
    <w:pPr>
      <w:spacing w:after="120"/>
      <w:ind w:left="420" w:leftChars="200"/>
    </w:pPr>
    <w:rPr>
      <w:rFonts w:ascii="Calibri" w:hAnsi="Calibri" w:eastAsia="宋体" w:cs="Times New Roman"/>
      <w:lang w:val="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99"/>
    <w:pPr>
      <w:tabs>
        <w:tab w:val="left" w:pos="780"/>
      </w:tabs>
      <w:spacing w:after="120"/>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正文段落"/>
    <w:basedOn w:val="1"/>
    <w:qFormat/>
    <w:uiPriority w:val="0"/>
    <w:pPr>
      <w:spacing w:line="360" w:lineRule="auto"/>
    </w:pPr>
    <w:rPr>
      <w:rFonts w:eastAsia="仿宋_GB2312"/>
      <w:sz w:val="28"/>
    </w:rPr>
  </w:style>
  <w:style w:type="character" w:customStyle="1" w:styleId="16">
    <w:name w:val="font51"/>
    <w:basedOn w:val="14"/>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2023-04-08T08:25:00Z</dcterms:created>
  <dc:creator>古月</dc:creator>
  <cp:lastModifiedBy>言～</cp:lastModifiedBy>
  <cp:lastPrinted>2024-04-28T01:06:00Z</cp:lastPrinted>
  <dcterms:modified xsi:type="dcterms:W3CDTF">2024-06-28T02:14:38Z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F0C60384C33F468EAB8CAFD4ABE25545_13</vt:lpwstr>
  </property>
</Properties>
</file>