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pPr>
    </w:p>
    <w:p>
      <w:pPr>
        <w:adjustRightInd w:val="0"/>
        <w:snapToGrid w:val="0"/>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内江市第二人民医院</w:t>
      </w:r>
    </w:p>
    <w:p>
      <w:pPr>
        <w:adjustRightInd w:val="0"/>
        <w:snapToGrid w:val="0"/>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传染科大楼四楼综合档案室板房拆除工程</w:t>
      </w:r>
    </w:p>
    <w:p>
      <w:pPr>
        <w:autoSpaceDE w:val="0"/>
        <w:autoSpaceDN w:val="0"/>
        <w:adjustRightInd w:val="0"/>
        <w:jc w:val="center"/>
        <w:rPr>
          <w:rFonts w:hint="eastAsia" w:ascii="宋体" w:hAnsi="宋体" w:cs="宋体"/>
          <w:b/>
          <w:bCs/>
          <w:color w:val="auto"/>
          <w:kern w:val="0"/>
          <w:sz w:val="72"/>
          <w:szCs w:val="72"/>
          <w:highlight w:val="none"/>
        </w:rPr>
      </w:pPr>
    </w:p>
    <w:p>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磋</w:t>
      </w:r>
      <w:r>
        <w:rPr>
          <w:rFonts w:hint="eastAsia" w:ascii="宋体" w:hAnsi="宋体" w:cs="宋体"/>
          <w:b/>
          <w:bCs/>
          <w:color w:val="auto"/>
          <w:kern w:val="0"/>
          <w:sz w:val="72"/>
          <w:szCs w:val="72"/>
          <w:highlight w:val="none"/>
          <w:lang w:val="en-US" w:eastAsia="zh-CN"/>
        </w:rPr>
        <w:t xml:space="preserve">  </w:t>
      </w:r>
    </w:p>
    <w:p>
      <w:pPr>
        <w:pStyle w:val="2"/>
        <w:rPr>
          <w:rFonts w:hint="default"/>
          <w:lang w:val="en-US" w:eastAsia="zh-CN"/>
        </w:rPr>
      </w:pP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商</w:t>
      </w:r>
    </w:p>
    <w:p>
      <w:pPr>
        <w:pStyle w:val="2"/>
        <w:rPr>
          <w:rFonts w:hint="eastAsia"/>
        </w:rPr>
      </w:pPr>
    </w:p>
    <w:p>
      <w:pPr>
        <w:adjustRightInd w:val="0"/>
        <w:snapToGrid w:val="0"/>
        <w:spacing w:line="360" w:lineRule="auto"/>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邀</w:t>
      </w:r>
    </w:p>
    <w:p>
      <w:pPr>
        <w:adjustRightInd w:val="0"/>
        <w:snapToGrid w:val="0"/>
        <w:spacing w:line="360" w:lineRule="auto"/>
        <w:jc w:val="center"/>
        <w:rPr>
          <w:rFonts w:ascii="宋体" w:hAnsi="宋体" w:cs="宋体"/>
          <w:b/>
          <w:bCs/>
          <w:sz w:val="32"/>
        </w:rPr>
      </w:pPr>
      <w:r>
        <w:rPr>
          <w:rFonts w:hint="eastAsia" w:ascii="宋体" w:hAnsi="宋体" w:cs="宋体"/>
          <w:b/>
          <w:bCs/>
          <w:color w:val="auto"/>
          <w:kern w:val="0"/>
          <w:sz w:val="72"/>
          <w:szCs w:val="72"/>
          <w:highlight w:val="none"/>
          <w:lang w:val="en-US" w:eastAsia="zh-CN"/>
        </w:rPr>
        <w:t>请</w:t>
      </w:r>
    </w:p>
    <w:p>
      <w:pPr>
        <w:adjustRightInd w:val="0"/>
        <w:snapToGrid w:val="0"/>
        <w:spacing w:line="360" w:lineRule="auto"/>
        <w:rPr>
          <w:rFonts w:ascii="宋体" w:hAnsi="宋体" w:cs="宋体"/>
          <w:b/>
          <w:bCs/>
          <w:sz w:val="32"/>
          <w:u w:val="single"/>
        </w:rPr>
      </w:pPr>
    </w:p>
    <w:p>
      <w:pPr>
        <w:pStyle w:val="2"/>
      </w:pPr>
    </w:p>
    <w:p>
      <w:pPr>
        <w:pStyle w:val="2"/>
        <w:rPr>
          <w:rFonts w:ascii="宋体" w:hAnsi="宋体" w:cs="宋体"/>
          <w:b/>
          <w:bCs/>
          <w:sz w:val="32"/>
          <w:u w:val="single"/>
        </w:rPr>
      </w:pPr>
    </w:p>
    <w:p>
      <w:pPr>
        <w:pStyle w:val="3"/>
      </w:pPr>
    </w:p>
    <w:p>
      <w:pPr>
        <w:adjustRightInd w:val="0"/>
        <w:snapToGrid w:val="0"/>
        <w:spacing w:line="360" w:lineRule="auto"/>
        <w:jc w:val="center"/>
        <w:rPr>
          <w:rFonts w:ascii="宋体" w:hAnsi="宋体" w:cs="宋体"/>
          <w:b/>
          <w:bCs/>
          <w:sz w:val="32"/>
        </w:rPr>
      </w:pPr>
      <w:r>
        <w:rPr>
          <w:rFonts w:hint="eastAsia" w:ascii="宋体" w:hAnsi="宋体" w:cs="宋体"/>
          <w:b/>
          <w:bCs/>
          <w:sz w:val="32"/>
        </w:rPr>
        <w:t>磋商人：内江市第二人民医院</w:t>
      </w:r>
    </w:p>
    <w:p>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4</w:t>
      </w:r>
      <w:r>
        <w:rPr>
          <w:rFonts w:hint="eastAsia" w:ascii="宋体" w:hAnsi="宋体" w:cs="宋体"/>
          <w:b/>
          <w:bCs/>
          <w:sz w:val="32"/>
        </w:rPr>
        <w:t>年</w:t>
      </w:r>
      <w:r>
        <w:rPr>
          <w:rFonts w:hint="eastAsia" w:ascii="宋体" w:hAnsi="宋体" w:cs="宋体"/>
          <w:b/>
          <w:bCs/>
          <w:sz w:val="32"/>
          <w:lang w:val="en-US" w:eastAsia="zh-CN"/>
        </w:rPr>
        <w:t xml:space="preserve">6 </w:t>
      </w:r>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pPr>
        <w:jc w:val="center"/>
        <w:outlineLvl w:val="0"/>
        <w:rPr>
          <w:rFonts w:hint="eastAsia" w:ascii="宋体" w:hAnsi="宋体" w:cs="宋体"/>
          <w:b/>
          <w:bCs/>
          <w:sz w:val="32"/>
          <w:szCs w:val="32"/>
          <w:lang w:val="zh-CN"/>
        </w:rPr>
      </w:pPr>
      <w:bookmarkStart w:id="13" w:name="_GoBack"/>
      <w:bookmarkEnd w:id="13"/>
    </w:p>
    <w:p>
      <w:pPr>
        <w:jc w:val="both"/>
        <w:outlineLvl w:val="0"/>
        <w:rPr>
          <w:rFonts w:hint="eastAsia" w:ascii="宋体" w:hAnsi="宋体" w:cs="宋体"/>
          <w:b/>
          <w:bCs/>
          <w:sz w:val="32"/>
          <w:szCs w:val="32"/>
          <w:lang w:val="zh-CN"/>
        </w:rPr>
      </w:pPr>
    </w:p>
    <w:p>
      <w:pPr>
        <w:jc w:val="center"/>
        <w:outlineLvl w:val="0"/>
        <w:rPr>
          <w:rFonts w:ascii="宋体" w:hAnsi="宋体" w:cs="宋体"/>
          <w:b/>
          <w:bCs/>
          <w:sz w:val="30"/>
          <w:szCs w:val="30"/>
          <w:lang w:val="zh-CN"/>
        </w:rPr>
      </w:pPr>
      <w:r>
        <w:rPr>
          <w:rFonts w:hint="eastAsia" w:ascii="宋体" w:hAnsi="宋体" w:cs="宋体"/>
          <w:b/>
          <w:bCs/>
          <w:sz w:val="32"/>
          <w:szCs w:val="32"/>
          <w:lang w:val="zh-CN"/>
        </w:rPr>
        <w:t>第一章 磋商邀请</w:t>
      </w:r>
      <w:bookmarkEnd w:id="0"/>
    </w:p>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32674"/>
      <w:bookmarkStart w:id="5" w:name="_Toc15322"/>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内江市第二人民医院传染科大楼四楼综合档案室板房拆除工程</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内江市第二人民医院传染科大楼四楼综合档案室板房拆除工程</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内江市第二人民医院传染科大楼四楼综合档案室板房拆除工程</w:t>
      </w:r>
      <w:r>
        <w:rPr>
          <w:rFonts w:hint="eastAsia" w:ascii="宋体" w:hAnsi="宋体" w:cs="宋体"/>
          <w:sz w:val="24"/>
        </w:rPr>
        <w:t>工作。</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60000.00元</w:t>
      </w:r>
      <w:r>
        <w:rPr>
          <w:rFonts w:hint="eastAsia" w:ascii="宋体" w:hAnsi="宋体" w:cs="宋体"/>
          <w:sz w:val="24"/>
          <w:lang w:val="zh-CN" w:eastAsia="zh-CN"/>
        </w:rPr>
        <w:t>。</w:t>
      </w:r>
      <w:bookmarkEnd w:id="7"/>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40"/>
          <w:rFonts w:hint="eastAsia" w:ascii="宋体" w:hAnsi="宋体" w:eastAsia="宋体" w:cs="宋体"/>
          <w:color w:val="auto"/>
          <w:highlight w:val="none"/>
          <w:lang w:val="en-US" w:bidi="ar-SA"/>
        </w:rPr>
      </w:pPr>
      <w:r>
        <w:rPr>
          <w:rStyle w:val="40"/>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具有建设行政主管部门颁发的建筑工程施工总承包三级及以上资质和有效期内的安全生产许可证</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13 </w:t>
      </w:r>
      <w:r>
        <w:rPr>
          <w:rFonts w:hint="eastAsia" w:ascii="宋体" w:hAnsi="宋体" w:cs="宋体"/>
          <w:sz w:val="24"/>
        </w:rPr>
        <w:t>日至202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20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21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5</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21 </w:t>
      </w:r>
      <w:r>
        <w:rPr>
          <w:rFonts w:hint="eastAsia" w:ascii="宋体" w:hAnsi="宋体" w:cs="宋体"/>
          <w:sz w:val="24"/>
          <w:u w:val="single"/>
        </w:rPr>
        <w:t>日10：00（北京时间）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6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21 </w:t>
      </w:r>
      <w:r>
        <w:rPr>
          <w:rFonts w:hint="eastAsia" w:ascii="宋体" w:hAnsi="宋体" w:eastAsia="宋体" w:cs="宋体"/>
          <w:kern w:val="2"/>
          <w:sz w:val="24"/>
          <w:szCs w:val="24"/>
          <w:lang w:val="en-US" w:eastAsia="zh-CN" w:bidi="ar-SA"/>
        </w:rPr>
        <w:t>日10:00分（北京时间）在谈判地点开启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eastAsia="zh-CN"/>
        </w:rPr>
        <w:t>骆老师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adjustRightInd w:val="0"/>
        <w:snapToGrid w:val="0"/>
        <w:spacing w:line="520" w:lineRule="exact"/>
        <w:jc w:val="right"/>
        <w:rPr>
          <w:rFonts w:ascii="宋体" w:hAnsi="宋体" w:cs="宋体"/>
          <w:sz w:val="24"/>
        </w:rPr>
      </w:pPr>
    </w:p>
    <w:p>
      <w:pPr>
        <w:adjustRightInd w:val="0"/>
        <w:snapToGrid w:val="0"/>
        <w:spacing w:line="520" w:lineRule="exact"/>
        <w:jc w:val="right"/>
        <w:rPr>
          <w:rFonts w:asciiTheme="majorEastAsia" w:hAnsiTheme="majorEastAsia" w:eastAsiaTheme="majorEastAsia" w:cstheme="majorEastAsia"/>
          <w:b/>
          <w:sz w:val="28"/>
          <w:szCs w:val="28"/>
        </w:rPr>
      </w:pPr>
      <w:r>
        <w:rPr>
          <w:rFonts w:hint="eastAsia" w:ascii="宋体" w:hAnsi="宋体" w:cs="宋体"/>
          <w:sz w:val="24"/>
        </w:rPr>
        <w:t xml:space="preserve">                                        </w:t>
      </w:r>
    </w:p>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jc w:val="center"/>
        <w:outlineLvl w:val="0"/>
        <w:rPr>
          <w:rFonts w:hint="eastAsia" w:ascii="仿宋" w:hAnsi="仿宋" w:eastAsia="仿宋" w:cs="仿宋"/>
          <w:b/>
          <w:sz w:val="28"/>
          <w:szCs w:val="28"/>
        </w:rPr>
      </w:pPr>
      <w:bookmarkStart w:id="12" w:name="_Toc1896"/>
    </w:p>
    <w:p>
      <w:pPr>
        <w:jc w:val="both"/>
        <w:outlineLvl w:val="0"/>
        <w:rPr>
          <w:rFonts w:hint="eastAsia" w:ascii="仿宋" w:hAnsi="仿宋" w:eastAsia="仿宋" w:cs="仿宋"/>
          <w:b/>
          <w:sz w:val="28"/>
          <w:szCs w:val="28"/>
        </w:rPr>
      </w:pPr>
    </w:p>
    <w:p>
      <w:pPr>
        <w:jc w:val="center"/>
        <w:outlineLvl w:val="0"/>
        <w:rPr>
          <w:rFonts w:ascii="仿宋" w:hAnsi="仿宋" w:eastAsia="仿宋" w:cs="仿宋"/>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供应商报名表</w:t>
      </w:r>
      <w:bookmarkEnd w:id="12"/>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pacing w:val="-10"/>
                <w:sz w:val="24"/>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pPr>
        <w:pStyle w:val="2"/>
      </w:pPr>
    </w:p>
    <w:sectPr>
      <w:headerReference r:id="rId5" w:type="default"/>
      <w:footerReference r:id="rId6"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abstractNum w:abstractNumId="2">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kxMGE2OGEzOTg0MjhmODViZGJmN2I1ZTgwY2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D93"/>
    <w:rsid w:val="04E3103D"/>
    <w:rsid w:val="04F236E0"/>
    <w:rsid w:val="05084A16"/>
    <w:rsid w:val="05164A52"/>
    <w:rsid w:val="051E5EB1"/>
    <w:rsid w:val="05657C34"/>
    <w:rsid w:val="05697868"/>
    <w:rsid w:val="05936F24"/>
    <w:rsid w:val="05A453CE"/>
    <w:rsid w:val="05AE6CE3"/>
    <w:rsid w:val="05BD6AF1"/>
    <w:rsid w:val="05C91298"/>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803249"/>
    <w:rsid w:val="0CAD7A19"/>
    <w:rsid w:val="0CB5432A"/>
    <w:rsid w:val="0CF86D1E"/>
    <w:rsid w:val="0CFF151B"/>
    <w:rsid w:val="0CFF18EA"/>
    <w:rsid w:val="0D026149"/>
    <w:rsid w:val="0D142FB8"/>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74ACD"/>
    <w:rsid w:val="0ED55857"/>
    <w:rsid w:val="0EDB2DD0"/>
    <w:rsid w:val="0EFD4585"/>
    <w:rsid w:val="0F044D36"/>
    <w:rsid w:val="0F1E6C24"/>
    <w:rsid w:val="0F37154D"/>
    <w:rsid w:val="0F460A79"/>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682683"/>
    <w:rsid w:val="118B66C7"/>
    <w:rsid w:val="11CA4B06"/>
    <w:rsid w:val="12120EE4"/>
    <w:rsid w:val="12167953"/>
    <w:rsid w:val="12213B90"/>
    <w:rsid w:val="122D232F"/>
    <w:rsid w:val="1252620E"/>
    <w:rsid w:val="12575B1E"/>
    <w:rsid w:val="125A7678"/>
    <w:rsid w:val="128563AB"/>
    <w:rsid w:val="1294511D"/>
    <w:rsid w:val="12B74511"/>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89740A"/>
    <w:rsid w:val="16A25D92"/>
    <w:rsid w:val="16D4018F"/>
    <w:rsid w:val="16E271D3"/>
    <w:rsid w:val="16E53E54"/>
    <w:rsid w:val="16E61509"/>
    <w:rsid w:val="16F65F1A"/>
    <w:rsid w:val="16FD40A6"/>
    <w:rsid w:val="170F05A6"/>
    <w:rsid w:val="171568C4"/>
    <w:rsid w:val="1743324F"/>
    <w:rsid w:val="1755775F"/>
    <w:rsid w:val="175F575A"/>
    <w:rsid w:val="1768620E"/>
    <w:rsid w:val="177630E0"/>
    <w:rsid w:val="17AE3598"/>
    <w:rsid w:val="17D32057"/>
    <w:rsid w:val="17DB306D"/>
    <w:rsid w:val="17FC195F"/>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7FFA"/>
    <w:rsid w:val="19E84A4A"/>
    <w:rsid w:val="19F518A6"/>
    <w:rsid w:val="1A0314FF"/>
    <w:rsid w:val="1A1769F3"/>
    <w:rsid w:val="1A2C1F3F"/>
    <w:rsid w:val="1A381625"/>
    <w:rsid w:val="1A457C13"/>
    <w:rsid w:val="1A4E09A0"/>
    <w:rsid w:val="1A6B2B38"/>
    <w:rsid w:val="1A6F64DA"/>
    <w:rsid w:val="1A8A3FE6"/>
    <w:rsid w:val="1ACF67BA"/>
    <w:rsid w:val="1B14719A"/>
    <w:rsid w:val="1B3866D6"/>
    <w:rsid w:val="1B5C3690"/>
    <w:rsid w:val="1B846B54"/>
    <w:rsid w:val="1B8A096C"/>
    <w:rsid w:val="1B9C4232"/>
    <w:rsid w:val="1BC55C8C"/>
    <w:rsid w:val="1BD93AA8"/>
    <w:rsid w:val="1BDA5F86"/>
    <w:rsid w:val="1C003733"/>
    <w:rsid w:val="1C00643D"/>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A04EE"/>
    <w:rsid w:val="1D8F5497"/>
    <w:rsid w:val="1DA1517F"/>
    <w:rsid w:val="1DC419F5"/>
    <w:rsid w:val="1DC66753"/>
    <w:rsid w:val="1DD04502"/>
    <w:rsid w:val="1DE73040"/>
    <w:rsid w:val="1DEF19E5"/>
    <w:rsid w:val="1E1428D2"/>
    <w:rsid w:val="1E18074F"/>
    <w:rsid w:val="1E4B1282"/>
    <w:rsid w:val="1E5D40C3"/>
    <w:rsid w:val="1E7C644D"/>
    <w:rsid w:val="1E877215"/>
    <w:rsid w:val="1EA241C9"/>
    <w:rsid w:val="1EAE657B"/>
    <w:rsid w:val="1EBC76DC"/>
    <w:rsid w:val="1ED65D15"/>
    <w:rsid w:val="1EE45FCB"/>
    <w:rsid w:val="1EF05A35"/>
    <w:rsid w:val="1EF67E0D"/>
    <w:rsid w:val="1F0419B0"/>
    <w:rsid w:val="1F0D2AA6"/>
    <w:rsid w:val="1F5679C5"/>
    <w:rsid w:val="1F790A34"/>
    <w:rsid w:val="1F816FE3"/>
    <w:rsid w:val="1F916AB5"/>
    <w:rsid w:val="1FB93225"/>
    <w:rsid w:val="1FBC5CA3"/>
    <w:rsid w:val="1FE065F4"/>
    <w:rsid w:val="200A3FFC"/>
    <w:rsid w:val="200E0DE4"/>
    <w:rsid w:val="203C6D0B"/>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273B8F"/>
    <w:rsid w:val="222C484F"/>
    <w:rsid w:val="222E2747"/>
    <w:rsid w:val="22616E70"/>
    <w:rsid w:val="22647D4C"/>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AF6589"/>
    <w:rsid w:val="29C04EE3"/>
    <w:rsid w:val="29CD7B81"/>
    <w:rsid w:val="2A222136"/>
    <w:rsid w:val="2A380C87"/>
    <w:rsid w:val="2A5D65C8"/>
    <w:rsid w:val="2A603E3D"/>
    <w:rsid w:val="2A81395E"/>
    <w:rsid w:val="2AA436F6"/>
    <w:rsid w:val="2AD72662"/>
    <w:rsid w:val="2ADA515E"/>
    <w:rsid w:val="2AE40A35"/>
    <w:rsid w:val="2AF82EE2"/>
    <w:rsid w:val="2B341B33"/>
    <w:rsid w:val="2B433F2F"/>
    <w:rsid w:val="2B56243C"/>
    <w:rsid w:val="2B5F0F1B"/>
    <w:rsid w:val="2B6020E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B54B9C"/>
    <w:rsid w:val="2CD5700B"/>
    <w:rsid w:val="2CEA0B8D"/>
    <w:rsid w:val="2CEA58F7"/>
    <w:rsid w:val="2CEE0899"/>
    <w:rsid w:val="2CF8590C"/>
    <w:rsid w:val="2CFF2167"/>
    <w:rsid w:val="2D2108A3"/>
    <w:rsid w:val="2D3D268D"/>
    <w:rsid w:val="2D4D317E"/>
    <w:rsid w:val="2D706D24"/>
    <w:rsid w:val="2D835071"/>
    <w:rsid w:val="2D892A9D"/>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B51805"/>
    <w:rsid w:val="2ED92085"/>
    <w:rsid w:val="2EEC0669"/>
    <w:rsid w:val="2EEE1D8C"/>
    <w:rsid w:val="2EEF451A"/>
    <w:rsid w:val="2EF016C5"/>
    <w:rsid w:val="2EF17DC0"/>
    <w:rsid w:val="2EF61696"/>
    <w:rsid w:val="2EF637B7"/>
    <w:rsid w:val="2F617CDA"/>
    <w:rsid w:val="2F8254C5"/>
    <w:rsid w:val="2F9F7EDB"/>
    <w:rsid w:val="2FB85A28"/>
    <w:rsid w:val="2FC34AC9"/>
    <w:rsid w:val="2FD3507B"/>
    <w:rsid w:val="2FEF5170"/>
    <w:rsid w:val="2FFB0830"/>
    <w:rsid w:val="2FFB5BB9"/>
    <w:rsid w:val="300E0F5F"/>
    <w:rsid w:val="302A13A5"/>
    <w:rsid w:val="30384FBE"/>
    <w:rsid w:val="303C6359"/>
    <w:rsid w:val="30554B6E"/>
    <w:rsid w:val="307B5D41"/>
    <w:rsid w:val="3086671A"/>
    <w:rsid w:val="309C1383"/>
    <w:rsid w:val="30AB2400"/>
    <w:rsid w:val="30B273BF"/>
    <w:rsid w:val="30C97E47"/>
    <w:rsid w:val="30CB180A"/>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8E66A3"/>
    <w:rsid w:val="34BC4F7D"/>
    <w:rsid w:val="34D02C65"/>
    <w:rsid w:val="34ED6308"/>
    <w:rsid w:val="34EF5223"/>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73C34AE"/>
    <w:rsid w:val="374740DE"/>
    <w:rsid w:val="37552D4F"/>
    <w:rsid w:val="375850E1"/>
    <w:rsid w:val="376B6B72"/>
    <w:rsid w:val="378239BE"/>
    <w:rsid w:val="379A4A44"/>
    <w:rsid w:val="37AF43BA"/>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CC1142"/>
    <w:rsid w:val="3AD24774"/>
    <w:rsid w:val="3AE35320"/>
    <w:rsid w:val="3AEB1D61"/>
    <w:rsid w:val="3AFB7E93"/>
    <w:rsid w:val="3B1D179E"/>
    <w:rsid w:val="3B230CF1"/>
    <w:rsid w:val="3B2D1B69"/>
    <w:rsid w:val="3B49121E"/>
    <w:rsid w:val="3B4A73B5"/>
    <w:rsid w:val="3B9D1D55"/>
    <w:rsid w:val="3BAE23D6"/>
    <w:rsid w:val="3C1933DA"/>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294A55"/>
    <w:rsid w:val="45326A5A"/>
    <w:rsid w:val="454B46D0"/>
    <w:rsid w:val="455059FB"/>
    <w:rsid w:val="456D5CF6"/>
    <w:rsid w:val="459D09B6"/>
    <w:rsid w:val="45AE1304"/>
    <w:rsid w:val="45B14454"/>
    <w:rsid w:val="45B82E2E"/>
    <w:rsid w:val="45D60B09"/>
    <w:rsid w:val="4602142E"/>
    <w:rsid w:val="460B67D2"/>
    <w:rsid w:val="4632196F"/>
    <w:rsid w:val="468948DD"/>
    <w:rsid w:val="46904674"/>
    <w:rsid w:val="46B21A90"/>
    <w:rsid w:val="46BD14CA"/>
    <w:rsid w:val="46C14A50"/>
    <w:rsid w:val="46C279DB"/>
    <w:rsid w:val="46D06DC8"/>
    <w:rsid w:val="46F36817"/>
    <w:rsid w:val="47134AD1"/>
    <w:rsid w:val="472361DA"/>
    <w:rsid w:val="473C4419"/>
    <w:rsid w:val="476F221C"/>
    <w:rsid w:val="47712E9B"/>
    <w:rsid w:val="47795F18"/>
    <w:rsid w:val="478B50DC"/>
    <w:rsid w:val="47A529FA"/>
    <w:rsid w:val="47B426DF"/>
    <w:rsid w:val="47BB0CE0"/>
    <w:rsid w:val="47DA334F"/>
    <w:rsid w:val="47FD3EF1"/>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71446B"/>
    <w:rsid w:val="4AC0666C"/>
    <w:rsid w:val="4AD60845"/>
    <w:rsid w:val="4AEF6891"/>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92391"/>
    <w:rsid w:val="4CF74068"/>
    <w:rsid w:val="4D310765"/>
    <w:rsid w:val="4D3D16A8"/>
    <w:rsid w:val="4D815059"/>
    <w:rsid w:val="4D8B4316"/>
    <w:rsid w:val="4DB50BA7"/>
    <w:rsid w:val="4DBF5BCA"/>
    <w:rsid w:val="4DE30E9B"/>
    <w:rsid w:val="4E43012A"/>
    <w:rsid w:val="4E7277D5"/>
    <w:rsid w:val="4E793181"/>
    <w:rsid w:val="4E823DEF"/>
    <w:rsid w:val="4EB66089"/>
    <w:rsid w:val="4EF71D1D"/>
    <w:rsid w:val="4F02406F"/>
    <w:rsid w:val="4F1239A4"/>
    <w:rsid w:val="4F261A60"/>
    <w:rsid w:val="4F2B5D80"/>
    <w:rsid w:val="4F2D1574"/>
    <w:rsid w:val="4F2D7175"/>
    <w:rsid w:val="4F2E2A86"/>
    <w:rsid w:val="4F48292A"/>
    <w:rsid w:val="4F4B3CE7"/>
    <w:rsid w:val="4F8F0E29"/>
    <w:rsid w:val="4FB03940"/>
    <w:rsid w:val="4FC327F3"/>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A686E"/>
    <w:rsid w:val="51742FF0"/>
    <w:rsid w:val="51880633"/>
    <w:rsid w:val="51BC7E0A"/>
    <w:rsid w:val="51CB2CE7"/>
    <w:rsid w:val="51CC0D4E"/>
    <w:rsid w:val="51DA699E"/>
    <w:rsid w:val="51F444D7"/>
    <w:rsid w:val="52163492"/>
    <w:rsid w:val="5251660A"/>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43A3B"/>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556730"/>
    <w:rsid w:val="5D705693"/>
    <w:rsid w:val="5D743D80"/>
    <w:rsid w:val="5D8C0128"/>
    <w:rsid w:val="5DC23787"/>
    <w:rsid w:val="5E2562CE"/>
    <w:rsid w:val="5E387218"/>
    <w:rsid w:val="5E7B6A2F"/>
    <w:rsid w:val="5EB61AA5"/>
    <w:rsid w:val="5EBF1D60"/>
    <w:rsid w:val="5EC33E83"/>
    <w:rsid w:val="5EC57616"/>
    <w:rsid w:val="5EDB1AD2"/>
    <w:rsid w:val="5EE07789"/>
    <w:rsid w:val="5F2C7224"/>
    <w:rsid w:val="5F342573"/>
    <w:rsid w:val="5F3650A1"/>
    <w:rsid w:val="5F6370B0"/>
    <w:rsid w:val="5F93009B"/>
    <w:rsid w:val="5FAE220D"/>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226E5C"/>
    <w:rsid w:val="61291416"/>
    <w:rsid w:val="61822F13"/>
    <w:rsid w:val="61834E4D"/>
    <w:rsid w:val="619A7CF2"/>
    <w:rsid w:val="61CA5C49"/>
    <w:rsid w:val="61F5301A"/>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B31582"/>
    <w:rsid w:val="6BC046D8"/>
    <w:rsid w:val="6BC063CA"/>
    <w:rsid w:val="6BC923B2"/>
    <w:rsid w:val="6BD234FD"/>
    <w:rsid w:val="6BD62599"/>
    <w:rsid w:val="6BE33902"/>
    <w:rsid w:val="6C070716"/>
    <w:rsid w:val="6C234866"/>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A2EEA"/>
    <w:rsid w:val="6E254D44"/>
    <w:rsid w:val="6E356CA8"/>
    <w:rsid w:val="6E362D66"/>
    <w:rsid w:val="6E497EDA"/>
    <w:rsid w:val="6E5D38B8"/>
    <w:rsid w:val="6E652059"/>
    <w:rsid w:val="6E8A0AC4"/>
    <w:rsid w:val="6E8D3D00"/>
    <w:rsid w:val="6E9749A8"/>
    <w:rsid w:val="6EAA3115"/>
    <w:rsid w:val="6EC267C5"/>
    <w:rsid w:val="6EC47312"/>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6C535B"/>
    <w:rsid w:val="787B5906"/>
    <w:rsid w:val="78943D75"/>
    <w:rsid w:val="78A51A56"/>
    <w:rsid w:val="78B45BCE"/>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line="360" w:lineRule="auto"/>
      <w:outlineLvl w:val="2"/>
    </w:pPr>
    <w:rPr>
      <w:b/>
      <w:bCs/>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00" w:lineRule="exact"/>
    </w:pPr>
    <w:rPr>
      <w:rFonts w:ascii="宋体" w:hAnsi="宋体"/>
      <w:sz w:val="28"/>
    </w:rPr>
  </w:style>
  <w:style w:type="paragraph" w:styleId="3">
    <w:name w:val="Body Text First Indent"/>
    <w:basedOn w:val="2"/>
    <w:next w:val="4"/>
    <w:qFormat/>
    <w:uiPriority w:val="0"/>
    <w:pPr>
      <w:spacing w:after="120" w:line="240" w:lineRule="auto"/>
      <w:ind w:left="420" w:firstLine="5796"/>
    </w:p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firstLineChars="200"/>
    </w:pPr>
  </w:style>
  <w:style w:type="paragraph" w:styleId="9">
    <w:name w:val="caption"/>
    <w:basedOn w:val="1"/>
    <w:next w:val="1"/>
    <w:qFormat/>
    <w:uiPriority w:val="0"/>
    <w:pPr>
      <w:tabs>
        <w:tab w:val="left" w:pos="1545"/>
      </w:tabs>
      <w:spacing w:line="360" w:lineRule="auto"/>
    </w:pPr>
    <w:rPr>
      <w:b/>
      <w:szCs w:val="20"/>
    </w:rPr>
  </w:style>
  <w:style w:type="paragraph" w:styleId="10">
    <w:name w:val="Document Map"/>
    <w:basedOn w:val="1"/>
    <w:qFormat/>
    <w:uiPriority w:val="0"/>
    <w:pPr>
      <w:shd w:val="clear" w:color="auto" w:fill="000080"/>
    </w:pPr>
  </w:style>
  <w:style w:type="paragraph" w:styleId="11">
    <w:name w:val="Body Text Indent"/>
    <w:basedOn w:val="1"/>
    <w:qFormat/>
    <w:uiPriority w:val="0"/>
    <w:pPr>
      <w:spacing w:line="440" w:lineRule="exact"/>
      <w:ind w:firstLine="720" w:firstLineChars="200"/>
    </w:pPr>
    <w:rPr>
      <w:rFonts w:ascii="宋体" w:hAnsi="宋体"/>
      <w:sz w:val="36"/>
    </w:rPr>
  </w:style>
  <w:style w:type="paragraph" w:styleId="12">
    <w:name w:val="Plain Text"/>
    <w:basedOn w:val="1"/>
    <w:next w:val="1"/>
    <w:qFormat/>
    <w:uiPriority w:val="0"/>
    <w:rPr>
      <w:rFonts w:ascii="宋体" w:hAnsi="Courier New" w:cs="Courier New"/>
      <w:szCs w:val="21"/>
    </w:rPr>
  </w:style>
  <w:style w:type="paragraph" w:styleId="13">
    <w:name w:val="Date"/>
    <w:basedOn w:val="1"/>
    <w:next w:val="1"/>
    <w:link w:val="3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next w:val="12"/>
    <w:qFormat/>
    <w:uiPriority w:val="0"/>
    <w:pPr>
      <w:tabs>
        <w:tab w:val="center" w:pos="4153"/>
        <w:tab w:val="right" w:pos="8306"/>
      </w:tabs>
      <w:snapToGrid w:val="0"/>
      <w:jc w:val="left"/>
    </w:pPr>
    <w:rPr>
      <w:sz w:val="18"/>
      <w:szCs w:val="18"/>
    </w:rPr>
  </w:style>
  <w:style w:type="paragraph" w:styleId="16">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qFormat/>
    <w:uiPriority w:val="0"/>
    <w:rPr>
      <w:rFonts w:ascii="Calibri" w:hAnsi="Calibri"/>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_Style 4"/>
    <w:basedOn w:val="1"/>
    <w:qFormat/>
    <w:uiPriority w:val="0"/>
  </w:style>
  <w:style w:type="paragraph" w:customStyle="1" w:styleId="25">
    <w:name w:val="表正文"/>
    <w:basedOn w:val="1"/>
    <w:next w:val="12"/>
    <w:qFormat/>
    <w:uiPriority w:val="0"/>
    <w:rPr>
      <w:rFonts w:ascii="宋体" w:hAnsi="Courier New"/>
      <w:szCs w:val="20"/>
    </w:rPr>
  </w:style>
  <w:style w:type="paragraph" w:customStyle="1" w:styleId="26">
    <w:name w:val="列出段落2"/>
    <w:basedOn w:val="1"/>
    <w:qFormat/>
    <w:uiPriority w:val="99"/>
    <w:pPr>
      <w:ind w:firstLine="420" w:firstLineChars="200"/>
    </w:pPr>
  </w:style>
  <w:style w:type="paragraph" w:customStyle="1" w:styleId="27">
    <w:name w:val="WW-普通文字"/>
    <w:basedOn w:val="1"/>
    <w:qFormat/>
    <w:uiPriority w:val="0"/>
    <w:pPr>
      <w:suppressAutoHyphens/>
    </w:pPr>
    <w:rPr>
      <w:rFonts w:ascii="宋体" w:hAnsi="宋体"/>
      <w:kern w:val="1"/>
    </w:rPr>
  </w:style>
  <w:style w:type="character" w:customStyle="1" w:styleId="28">
    <w:name w:val="*三级标题 Char"/>
    <w:qFormat/>
    <w:uiPriority w:val="0"/>
    <w:rPr>
      <w:rFonts w:eastAsia="宋体"/>
      <w:b/>
      <w:bCs/>
      <w:kern w:val="2"/>
      <w:sz w:val="28"/>
      <w:szCs w:val="32"/>
      <w:lang w:val="en-US" w:eastAsia="zh-CN" w:bidi="ar-SA"/>
    </w:rPr>
  </w:style>
  <w:style w:type="character" w:customStyle="1" w:styleId="29">
    <w:name w:val="标题 1 Char"/>
    <w:link w:val="5"/>
    <w:qFormat/>
    <w:uiPriority w:val="0"/>
    <w:rPr>
      <w:b/>
      <w:bCs/>
      <w:kern w:val="44"/>
      <w:sz w:val="44"/>
      <w:szCs w:val="44"/>
    </w:rPr>
  </w:style>
  <w:style w:type="character" w:customStyle="1" w:styleId="30">
    <w:name w:val="页眉 Char"/>
    <w:link w:val="16"/>
    <w:qFormat/>
    <w:uiPriority w:val="0"/>
    <w:rPr>
      <w:kern w:val="2"/>
      <w:sz w:val="18"/>
      <w:szCs w:val="18"/>
    </w:rPr>
  </w:style>
  <w:style w:type="character" w:customStyle="1" w:styleId="31">
    <w:name w:val="日期 Char"/>
    <w:link w:val="13"/>
    <w:qFormat/>
    <w:uiPriority w:val="0"/>
    <w:rPr>
      <w:kern w:val="2"/>
      <w:sz w:val="21"/>
      <w:szCs w:val="24"/>
    </w:rPr>
  </w:style>
  <w:style w:type="character" w:customStyle="1" w:styleId="32">
    <w:name w:val="NormalCharacter"/>
    <w:qFormat/>
    <w:uiPriority w:val="0"/>
  </w:style>
  <w:style w:type="character" w:customStyle="1" w:styleId="33">
    <w:name w:val="标题 3 Char"/>
    <w:link w:val="7"/>
    <w:qFormat/>
    <w:uiPriority w:val="0"/>
    <w:rPr>
      <w:b/>
      <w:bCs/>
      <w:kern w:val="0"/>
      <w:sz w:val="24"/>
      <w:szCs w:val="32"/>
    </w:rPr>
  </w:style>
  <w:style w:type="paragraph" w:customStyle="1" w:styleId="34">
    <w:name w:val="UserStyle_9"/>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qFormat/>
    <w:uiPriority w:val="99"/>
    <w:pPr>
      <w:spacing w:line="360" w:lineRule="auto"/>
      <w:ind w:firstLine="200" w:firstLineChars="200"/>
    </w:pPr>
  </w:style>
  <w:style w:type="paragraph" w:customStyle="1" w:styleId="36">
    <w:name w:val="CD正文"/>
    <w:basedOn w:val="1"/>
    <w:qFormat/>
    <w:uiPriority w:val="99"/>
    <w:pPr>
      <w:spacing w:line="360" w:lineRule="auto"/>
      <w:ind w:firstLine="493"/>
    </w:pPr>
    <w:rPr>
      <w:sz w:val="30"/>
      <w:szCs w:val="30"/>
    </w:rPr>
  </w:style>
  <w:style w:type="paragraph" w:customStyle="1" w:styleId="37">
    <w:name w:val="Plain Text1"/>
    <w:basedOn w:val="1"/>
    <w:qFormat/>
    <w:uiPriority w:val="99"/>
    <w:pPr>
      <w:adjustRightInd w:val="0"/>
      <w:jc w:val="left"/>
      <w:textAlignment w:val="baseline"/>
    </w:pPr>
    <w:rPr>
      <w:rFonts w:ascii="宋体" w:hAnsi="Courier New" w:cs="宋体"/>
      <w:sz w:val="24"/>
      <w:szCs w:val="24"/>
    </w:rPr>
  </w:style>
  <w:style w:type="paragraph" w:styleId="38">
    <w:name w:val="Quote"/>
    <w:next w:val="1"/>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qFormat/>
    <w:uiPriority w:val="0"/>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31</Pages>
  <Words>11473</Words>
  <Characters>11885</Characters>
  <Lines>43</Lines>
  <Paragraphs>12</Paragraphs>
  <TotalTime>45</TotalTime>
  <ScaleCrop>false</ScaleCrop>
  <LinksUpToDate>false</LinksUpToDate>
  <CharactersWithSpaces>12764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骆羽丰</cp:lastModifiedBy>
  <cp:lastPrinted>2024-06-13T02:17:00Z</cp:lastPrinted>
  <dcterms:modified xsi:type="dcterms:W3CDTF">2024-06-13T02:33:12Z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3C6F986384694AF89C3B0E11BAC61296</vt:lpwstr>
  </property>
</Properties>
</file>