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numPr>
          <w:ilvl w:val="0"/>
          <w:numId w:val="1"/>
        </w:numPr>
        <w:adjustRightInd w:val="0"/>
        <w:snapToGrid w:val="0"/>
        <w:spacing w:before="163" w:beforeLines="50" w:after="163" w:afterLines="50" w:line="360" w:lineRule="auto"/>
        <w:ind w:left="960" w:firstLine="0" w:firstLineChars="0"/>
        <w:jc w:val="center"/>
        <w:outlineLvl w:val="0"/>
        <w:rPr>
          <w:rFonts w:ascii="微软雅黑" w:hAnsi="微软雅黑" w:eastAsia="微软雅黑"/>
          <w:b/>
          <w:sz w:val="28"/>
          <w:szCs w:val="21"/>
        </w:rPr>
      </w:pPr>
      <w:r>
        <w:rPr>
          <w:rFonts w:hint="eastAsia" w:ascii="微软雅黑" w:hAnsi="微软雅黑" w:eastAsia="微软雅黑"/>
          <w:b/>
          <w:sz w:val="28"/>
          <w:szCs w:val="21"/>
        </w:rPr>
        <w:t>采购货物清单</w:t>
      </w:r>
    </w:p>
    <w:tbl>
      <w:tblPr>
        <w:tblStyle w:val="19"/>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1417"/>
        <w:gridCol w:w="1701"/>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adjustRightInd w:val="0"/>
              <w:snapToGrid w:val="0"/>
              <w:spacing w:line="360" w:lineRule="auto"/>
              <w:jc w:val="center"/>
              <w:rPr>
                <w:rFonts w:ascii="微软雅黑" w:hAnsi="微软雅黑" w:eastAsia="微软雅黑"/>
                <w:b/>
                <w:kern w:val="0"/>
                <w:sz w:val="24"/>
                <w:szCs w:val="24"/>
              </w:rPr>
            </w:pPr>
            <w:r>
              <w:rPr>
                <w:rFonts w:hint="eastAsia" w:ascii="微软雅黑" w:hAnsi="微软雅黑" w:eastAsia="微软雅黑" w:cs="宋体"/>
                <w:b/>
                <w:kern w:val="0"/>
                <w:sz w:val="24"/>
                <w:szCs w:val="24"/>
              </w:rPr>
              <w:t>序号</w:t>
            </w:r>
          </w:p>
        </w:tc>
        <w:tc>
          <w:tcPr>
            <w:tcW w:w="2835" w:type="dxa"/>
            <w:vAlign w:val="center"/>
          </w:tcPr>
          <w:p>
            <w:pPr>
              <w:widowControl/>
              <w:adjustRightInd w:val="0"/>
              <w:snapToGrid w:val="0"/>
              <w:spacing w:line="360" w:lineRule="auto"/>
              <w:jc w:val="center"/>
              <w:rPr>
                <w:rFonts w:ascii="微软雅黑" w:hAnsi="微软雅黑" w:eastAsia="微软雅黑"/>
                <w:b/>
                <w:kern w:val="0"/>
                <w:sz w:val="24"/>
                <w:szCs w:val="24"/>
              </w:rPr>
            </w:pPr>
            <w:r>
              <w:rPr>
                <w:rFonts w:hint="eastAsia" w:ascii="微软雅黑" w:hAnsi="微软雅黑" w:eastAsia="微软雅黑" w:cs="宋体"/>
                <w:b/>
                <w:kern w:val="0"/>
                <w:sz w:val="24"/>
                <w:szCs w:val="24"/>
              </w:rPr>
              <w:t>货物名称</w:t>
            </w:r>
          </w:p>
        </w:tc>
        <w:tc>
          <w:tcPr>
            <w:tcW w:w="1417" w:type="dxa"/>
            <w:vAlign w:val="center"/>
          </w:tcPr>
          <w:p>
            <w:pPr>
              <w:widowControl/>
              <w:adjustRightInd w:val="0"/>
              <w:snapToGrid w:val="0"/>
              <w:spacing w:line="360" w:lineRule="auto"/>
              <w:jc w:val="center"/>
              <w:rPr>
                <w:rFonts w:ascii="微软雅黑" w:hAnsi="微软雅黑" w:eastAsia="微软雅黑"/>
                <w:b/>
                <w:kern w:val="0"/>
                <w:sz w:val="24"/>
                <w:szCs w:val="24"/>
              </w:rPr>
            </w:pPr>
            <w:r>
              <w:rPr>
                <w:rFonts w:hint="eastAsia" w:ascii="微软雅黑" w:hAnsi="微软雅黑" w:eastAsia="微软雅黑" w:cs="宋体"/>
                <w:b/>
                <w:kern w:val="0"/>
                <w:sz w:val="24"/>
                <w:szCs w:val="24"/>
              </w:rPr>
              <w:t>单位</w:t>
            </w:r>
          </w:p>
        </w:tc>
        <w:tc>
          <w:tcPr>
            <w:tcW w:w="1701" w:type="dxa"/>
            <w:vAlign w:val="center"/>
          </w:tcPr>
          <w:p>
            <w:pPr>
              <w:widowControl/>
              <w:adjustRightInd w:val="0"/>
              <w:snapToGrid w:val="0"/>
              <w:spacing w:line="360" w:lineRule="auto"/>
              <w:jc w:val="center"/>
              <w:rPr>
                <w:rFonts w:ascii="微软雅黑" w:hAnsi="微软雅黑" w:eastAsia="微软雅黑"/>
                <w:b/>
                <w:kern w:val="0"/>
                <w:sz w:val="24"/>
                <w:szCs w:val="24"/>
              </w:rPr>
            </w:pPr>
            <w:r>
              <w:rPr>
                <w:rFonts w:hint="eastAsia" w:ascii="微软雅黑" w:hAnsi="微软雅黑" w:eastAsia="微软雅黑" w:cs="宋体"/>
                <w:b/>
                <w:kern w:val="0"/>
                <w:sz w:val="24"/>
                <w:szCs w:val="24"/>
              </w:rPr>
              <w:t>数量</w:t>
            </w:r>
          </w:p>
        </w:tc>
        <w:tc>
          <w:tcPr>
            <w:tcW w:w="2603" w:type="dxa"/>
            <w:vAlign w:val="center"/>
          </w:tcPr>
          <w:p>
            <w:pPr>
              <w:widowControl/>
              <w:adjustRightInd w:val="0"/>
              <w:snapToGrid w:val="0"/>
              <w:spacing w:line="360" w:lineRule="auto"/>
              <w:jc w:val="center"/>
              <w:rPr>
                <w:rFonts w:ascii="微软雅黑" w:hAnsi="微软雅黑" w:eastAsia="微软雅黑"/>
                <w:b/>
                <w:kern w:val="0"/>
                <w:sz w:val="24"/>
                <w:szCs w:val="24"/>
              </w:rPr>
            </w:pPr>
            <w:r>
              <w:rPr>
                <w:rFonts w:hint="eastAsia" w:ascii="微软雅黑" w:hAnsi="微软雅黑" w:eastAsia="微软雅黑" w:cs="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5"/>
              <w:widowControl/>
              <w:numPr>
                <w:ilvl w:val="0"/>
                <w:numId w:val="2"/>
              </w:numPr>
              <w:adjustRightInd w:val="0"/>
              <w:snapToGrid w:val="0"/>
              <w:spacing w:line="360" w:lineRule="auto"/>
              <w:ind w:left="0" w:firstLine="0" w:firstLineChars="0"/>
              <w:jc w:val="center"/>
              <w:rPr>
                <w:rFonts w:ascii="微软雅黑" w:hAnsi="微软雅黑" w:eastAsia="微软雅黑"/>
                <w:b/>
                <w:kern w:val="0"/>
                <w:sz w:val="24"/>
                <w:szCs w:val="24"/>
              </w:rPr>
            </w:pPr>
          </w:p>
        </w:tc>
        <w:tc>
          <w:tcPr>
            <w:tcW w:w="2835" w:type="dxa"/>
            <w:vAlign w:val="center"/>
          </w:tcPr>
          <w:p>
            <w:pPr>
              <w:widowControl/>
              <w:adjustRightInd w:val="0"/>
              <w:snapToGrid w:val="0"/>
              <w:spacing w:line="360" w:lineRule="auto"/>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超轻型移动护理车</w:t>
            </w:r>
          </w:p>
        </w:tc>
        <w:tc>
          <w:tcPr>
            <w:tcW w:w="1417" w:type="dxa"/>
            <w:vAlign w:val="center"/>
          </w:tcPr>
          <w:p>
            <w:pPr>
              <w:widowControl/>
              <w:adjustRightInd w:val="0"/>
              <w:snapToGrid w:val="0"/>
              <w:spacing w:line="360" w:lineRule="auto"/>
              <w:jc w:val="center"/>
              <w:rPr>
                <w:rFonts w:ascii="微软雅黑" w:hAnsi="微软雅黑" w:eastAsia="微软雅黑"/>
                <w:kern w:val="0"/>
                <w:sz w:val="24"/>
                <w:szCs w:val="24"/>
              </w:rPr>
            </w:pPr>
            <w:r>
              <w:rPr>
                <w:rFonts w:hint="eastAsia" w:ascii="微软雅黑" w:hAnsi="微软雅黑" w:eastAsia="微软雅黑" w:cs="宋体"/>
                <w:kern w:val="0"/>
                <w:sz w:val="24"/>
                <w:szCs w:val="24"/>
              </w:rPr>
              <w:t>台</w:t>
            </w:r>
          </w:p>
        </w:tc>
        <w:tc>
          <w:tcPr>
            <w:tcW w:w="1701" w:type="dxa"/>
            <w:vAlign w:val="center"/>
          </w:tcPr>
          <w:p>
            <w:pPr>
              <w:widowControl/>
              <w:adjustRightInd w:val="0"/>
              <w:snapToGrid w:val="0"/>
              <w:spacing w:line="360" w:lineRule="auto"/>
              <w:jc w:val="center"/>
              <w:rPr>
                <w:rFonts w:hint="eastAsia" w:ascii="微软雅黑" w:hAnsi="微软雅黑" w:eastAsia="微软雅黑"/>
                <w:b/>
                <w:kern w:val="0"/>
                <w:sz w:val="24"/>
                <w:szCs w:val="24"/>
                <w:lang w:val="en-US" w:eastAsia="zh-CN"/>
              </w:rPr>
            </w:pPr>
            <w:r>
              <w:rPr>
                <w:rFonts w:hint="eastAsia" w:ascii="微软雅黑" w:hAnsi="微软雅黑" w:eastAsia="微软雅黑"/>
                <w:b/>
                <w:kern w:val="0"/>
                <w:sz w:val="24"/>
                <w:szCs w:val="24"/>
                <w:lang w:val="en-US" w:eastAsia="zh-CN"/>
              </w:rPr>
              <w:t>2</w:t>
            </w:r>
          </w:p>
        </w:tc>
        <w:tc>
          <w:tcPr>
            <w:tcW w:w="2603" w:type="dxa"/>
            <w:vAlign w:val="center"/>
          </w:tcPr>
          <w:p>
            <w:pPr>
              <w:widowControl/>
              <w:adjustRightInd w:val="0"/>
              <w:snapToGrid w:val="0"/>
              <w:spacing w:line="360" w:lineRule="auto"/>
              <w:jc w:val="center"/>
              <w:rPr>
                <w:rFonts w:ascii="微软雅黑" w:hAnsi="微软雅黑" w:eastAsia="微软雅黑"/>
                <w:b/>
                <w:kern w:val="0"/>
                <w:sz w:val="24"/>
                <w:szCs w:val="24"/>
              </w:rPr>
            </w:pPr>
          </w:p>
        </w:tc>
      </w:tr>
    </w:tbl>
    <w:p>
      <w:pPr>
        <w:pStyle w:val="35"/>
        <w:numPr>
          <w:ilvl w:val="0"/>
          <w:numId w:val="1"/>
        </w:numPr>
        <w:adjustRightInd w:val="0"/>
        <w:snapToGrid w:val="0"/>
        <w:spacing w:before="163" w:beforeLines="50" w:after="163" w:afterLines="50" w:line="360" w:lineRule="auto"/>
        <w:ind w:left="960" w:firstLine="0" w:firstLineChars="0"/>
        <w:jc w:val="center"/>
        <w:outlineLvl w:val="0"/>
        <w:rPr>
          <w:rFonts w:ascii="微软雅黑" w:hAnsi="微软雅黑" w:eastAsia="微软雅黑"/>
          <w:b/>
          <w:sz w:val="28"/>
          <w:szCs w:val="21"/>
        </w:rPr>
      </w:pPr>
      <w:r>
        <w:rPr>
          <w:rFonts w:hint="eastAsia" w:ascii="微软雅黑" w:hAnsi="微软雅黑" w:eastAsia="微软雅黑"/>
          <w:b/>
          <w:sz w:val="28"/>
          <w:szCs w:val="21"/>
        </w:rPr>
        <w:t>技术参数要求</w:t>
      </w:r>
    </w:p>
    <w:p>
      <w:pPr>
        <w:pStyle w:val="2"/>
        <w:snapToGrid w:val="0"/>
        <w:spacing w:line="360" w:lineRule="auto"/>
        <w:rPr>
          <w:rFonts w:ascii="微软雅黑" w:hAnsi="微软雅黑" w:eastAsia="微软雅黑" w:cs="微软雅黑"/>
          <w:bCs/>
          <w:kern w:val="0"/>
          <w:sz w:val="24"/>
          <w:szCs w:val="20"/>
        </w:rPr>
      </w:pPr>
      <w:r>
        <w:rPr>
          <w:rFonts w:hint="eastAsia" w:ascii="微软雅黑" w:hAnsi="微软雅黑" w:eastAsia="微软雅黑" w:cs="微软雅黑"/>
          <w:bCs/>
          <w:kern w:val="0"/>
          <w:sz w:val="24"/>
          <w:szCs w:val="20"/>
        </w:rPr>
        <w:t>特别说明：技术参数要求提供技术证明文件的,投标人必须如实响应并提供符合要求的证明文件，否则视为负偏离。标识”★”的参数为实质性要求,负偏离将视为无效投标,标识“▲”的参数仅作为重点扣分项。</w:t>
      </w:r>
    </w:p>
    <w:p>
      <w:pPr>
        <w:keepNext/>
        <w:keepLines/>
        <w:numPr>
          <w:ilvl w:val="0"/>
          <w:numId w:val="3"/>
        </w:numPr>
        <w:adjustRightInd w:val="0"/>
        <w:snapToGrid w:val="0"/>
        <w:spacing w:line="360" w:lineRule="auto"/>
        <w:outlineLvl w:val="1"/>
        <w:rPr>
          <w:rFonts w:ascii="微软雅黑" w:hAnsi="微软雅黑" w:eastAsia="微软雅黑"/>
          <w:b/>
          <w:bCs/>
          <w:sz w:val="24"/>
          <w:szCs w:val="24"/>
        </w:rPr>
      </w:pPr>
      <w:r>
        <w:rPr>
          <w:rFonts w:hint="eastAsia" w:ascii="微软雅黑" w:hAnsi="微软雅黑" w:eastAsia="微软雅黑"/>
          <w:b/>
          <w:bCs/>
          <w:sz w:val="24"/>
          <w:szCs w:val="24"/>
        </w:rPr>
        <w:t>超轻型移动护理车</w:t>
      </w:r>
    </w:p>
    <w:tbl>
      <w:tblPr>
        <w:tblStyle w:val="18"/>
        <w:tblW w:w="937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5"/>
        <w:gridCol w:w="1558"/>
        <w:gridCol w:w="69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double" w:color="auto" w:sz="4"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1558"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b/>
                <w:szCs w:val="21"/>
              </w:rPr>
            </w:pPr>
            <w:r>
              <w:rPr>
                <w:rFonts w:hint="eastAsia" w:ascii="微软雅黑" w:hAnsi="微软雅黑" w:eastAsia="微软雅黑" w:cs="微软雅黑"/>
                <w:b/>
                <w:szCs w:val="21"/>
              </w:rPr>
              <w:t>子项</w:t>
            </w:r>
          </w:p>
        </w:tc>
        <w:tc>
          <w:tcPr>
            <w:tcW w:w="6982" w:type="dxa"/>
            <w:tcBorders>
              <w:top w:val="double" w:color="auto" w:sz="4" w:space="0"/>
              <w:left w:val="single" w:color="auto" w:sz="6" w:space="0"/>
              <w:bottom w:val="single" w:color="auto" w:sz="6" w:space="0"/>
              <w:right w:val="double" w:color="auto" w:sz="4" w:space="0"/>
            </w:tcBorders>
            <w:vAlign w:val="center"/>
          </w:tcPr>
          <w:p>
            <w:pPr>
              <w:adjustRightInd w:val="0"/>
              <w:snapToGrid w:val="0"/>
              <w:spacing w:line="360" w:lineRule="auto"/>
              <w:jc w:val="center"/>
              <w:rPr>
                <w:rFonts w:ascii="微软雅黑" w:hAnsi="微软雅黑" w:eastAsia="微软雅黑" w:cs="微软雅黑"/>
                <w:b/>
                <w:szCs w:val="21"/>
              </w:rPr>
            </w:pPr>
            <w:r>
              <w:rPr>
                <w:rFonts w:hint="eastAsia" w:ascii="微软雅黑" w:hAnsi="微软雅黑" w:eastAsia="微软雅黑" w:cs="微软雅黑"/>
                <w:b/>
                <w:szCs w:val="21"/>
              </w:rPr>
              <w:t>技术参数要求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b/>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b/>
                <w:szCs w:val="21"/>
              </w:rPr>
            </w:pPr>
            <w:r>
              <w:rPr>
                <w:rFonts w:hint="eastAsia" w:ascii="微软雅黑" w:hAnsi="微软雅黑" w:eastAsia="微软雅黑" w:cs="微软雅黑"/>
                <w:bCs/>
                <w:szCs w:val="21"/>
              </w:rPr>
              <w:t>整车材质</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整车采用航空级铝合金材料，耐受酒精、洗必泰、施康等医院常用消毒剂擦拭消毒，抗菌率99.9%，抗菌耐腐蚀,持久耐用；</w:t>
            </w:r>
            <w:r>
              <w:rPr>
                <w:rFonts w:ascii="微软雅黑" w:hAnsi="微软雅黑" w:eastAsia="微软雅黑" w:cs="微软雅黑"/>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一体化设计</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整车一体化设计，电池内嵌保护于台面内，不外挂，不外漏，主机高度集成，保证主机和电源安全；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b/>
                <w:szCs w:val="21"/>
              </w:rPr>
            </w:pPr>
            <w:r>
              <w:rPr>
                <w:rFonts w:hint="eastAsia" w:ascii="微软雅黑" w:hAnsi="微软雅黑" w:eastAsia="微软雅黑" w:cs="微软雅黑"/>
                <w:szCs w:val="21"/>
              </w:rPr>
              <w:t>台面尺寸</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实际操作台面（不含把手和键盘托）尺寸为≥400mm*</w:t>
            </w:r>
            <w:r>
              <w:rPr>
                <w:rFonts w:ascii="微软雅黑" w:hAnsi="微软雅黑" w:eastAsia="微软雅黑" w:cs="微软雅黑"/>
                <w:szCs w:val="21"/>
              </w:rPr>
              <w:t>40</w:t>
            </w:r>
            <w:r>
              <w:rPr>
                <w:rFonts w:hint="eastAsia" w:ascii="微软雅黑" w:hAnsi="微软雅黑" w:eastAsia="微软雅黑" w:cs="微软雅黑"/>
                <w:szCs w:val="21"/>
              </w:rPr>
              <w:t>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▲台面设计</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采用航空级铝合金压铸一体成型设计台面，承重抗压性强，表面UV固化处理, 耐受医院常用消毒剂，耐清洗，耐刮擦，抗紫外线；圆弧形无缝设计，清洁无死角；显示器支架后移或侧移，不占用台面空间，保障台面使用空间利用率；（提供台面铝合金压铸一体成型的整机和局部细节实物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▲防滑挡条</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工作台面具有与台面完全压铸一体成型的铝合金防滑挡条，高度≥25mm；挡条与台面无缝一体成型，防止物品滑落和漏液侵蚀车体; （提供与台面压铸一体成型的铝合防滑挡条真机实物照片证明）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▲台面把手</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工作台面具有与台面完全压铸一体成型的全铝合金把手，把手与台面之间无螺丝固定，颜色材质一致，坚固耐用；把手为圆弧形闭环设计，方便操作推动（提供与台面压铸一体成型的铝合金把手真机实物照片）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▲键盘托</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配置与台面把手一体成型的全铝合金键盘托，键盘托向上倾斜≥10°，符合人体工程学设计，操作使用舒适（提供与台面把手一体成型的铝合金键盘托向上倾斜的真机实物照片证明）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▲键盘照明灯</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台面下方内嵌LED键盘照明灯，支持在光线较弱情况下人体自动感应照明，方便医护人员在黑暗环境下操作使用（提供真机实物操作演示照片证明）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▲鼠标托盘</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配置旋转式鼠标托盘，尺寸≥130mm*120mm；支持在键盘托左右侧灵活选配，满足不同人群使用习惯，不用时旋转收缩在键盘内侧，不占用空间;（提供鼠标托盘隐藏和转出键盘托的真机实物照片证明）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升降立柱</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采用航空级铝合金材质升降立柱，承重耐久性能良好，采用气动升降方式，支持≥300mm升降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抽屉设计</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jc w:val="left"/>
              <w:rPr>
                <w:rFonts w:ascii="微软雅黑" w:hAnsi="微软雅黑" w:eastAsia="微软雅黑"/>
              </w:rPr>
            </w:pPr>
            <w:r>
              <w:rPr>
                <w:rFonts w:hint="eastAsia" w:ascii="微软雅黑" w:hAnsi="微软雅黑" w:eastAsia="微软雅黑"/>
              </w:rPr>
              <w:t>配置≥</w:t>
            </w:r>
            <w:r>
              <w:rPr>
                <w:rFonts w:ascii="微软雅黑" w:hAnsi="微软雅黑" w:eastAsia="微软雅黑"/>
              </w:rPr>
              <w:t>2</w:t>
            </w:r>
            <w:r>
              <w:rPr>
                <w:rFonts w:hint="eastAsia" w:ascii="微软雅黑" w:hAnsi="微软雅黑" w:eastAsia="微软雅黑"/>
              </w:rPr>
              <w:t>层高分子合成树脂材质抽屉，更加轻便，单层抽屉（含抽屉面板及把手）压铸一体成型，颜色材质一致，无任何螺丝固定，无缝清洁无死角；</w:t>
            </w:r>
          </w:p>
          <w:p>
            <w:pPr>
              <w:adjustRightInd w:val="0"/>
              <w:snapToGrid w:val="0"/>
              <w:spacing w:line="360" w:lineRule="auto"/>
              <w:jc w:val="left"/>
              <w:rPr>
                <w:rFonts w:ascii="微软雅黑" w:hAnsi="微软雅黑" w:eastAsia="微软雅黑"/>
              </w:rPr>
            </w:pPr>
            <w:r>
              <w:rPr>
                <w:rFonts w:hint="eastAsia" w:ascii="微软雅黑" w:hAnsi="微软雅黑" w:eastAsia="微软雅黑"/>
              </w:rPr>
              <w:t>整个抽屉采用模块化设计，支持徒手快速拆卸更换，便于后期更新维护。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抽屉材质</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jc w:val="left"/>
              <w:rPr>
                <w:rFonts w:ascii="微软雅黑" w:hAnsi="微软雅黑" w:eastAsia="微软雅黑"/>
              </w:rPr>
            </w:pPr>
            <w:r>
              <w:rPr>
                <w:rFonts w:hint="eastAsia" w:ascii="微软雅黑" w:hAnsi="微软雅黑" w:eastAsia="微软雅黑" w:cs="微软雅黑"/>
                <w:szCs w:val="21"/>
              </w:rPr>
              <w:t>抽屉（包括把手）均采用高分子合成树脂抗菌材质，抗菌率99.9%，抗菌耐腐蚀,持久耐用；</w:t>
            </w:r>
            <w:r>
              <w:rPr>
                <w:rFonts w:ascii="微软雅黑" w:hAnsi="微软雅黑" w:eastAsia="微软雅黑"/>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底座</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采用高强度铝合金压铸一体成型，无缝无拼接，表面采用</w:t>
            </w:r>
            <w:r>
              <w:rPr>
                <w:rFonts w:hint="eastAsia" w:ascii="微软雅黑" w:hAnsi="微软雅黑" w:eastAsia="微软雅黑" w:cs="微软雅黑"/>
                <w:kern w:val="0"/>
                <w:szCs w:val="21"/>
              </w:rPr>
              <w:t>粉体涂料抑菌处理</w:t>
            </w:r>
            <w:r>
              <w:rPr>
                <w:rFonts w:hint="eastAsia" w:ascii="微软雅黑" w:hAnsi="微软雅黑" w:eastAsia="微软雅黑" w:cs="微软雅黑"/>
                <w:szCs w:val="21"/>
              </w:rPr>
              <w:t xml:space="preserve">，耐碰耐刮耐腐蚀；专为医疗定制设计；底座向内弯曲，可有效避免推动时撞脚，方便坐姿使用；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脚轮</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b/>
                <w:szCs w:val="21"/>
              </w:rPr>
            </w:pPr>
            <w:r>
              <w:rPr>
                <w:rFonts w:hint="eastAsia" w:ascii="微软雅黑" w:hAnsi="微软雅黑" w:eastAsia="微软雅黑" w:cs="微软雅黑"/>
                <w:szCs w:val="21"/>
              </w:rPr>
              <w:t>4个双面超静音医用万向脚轮，四轮八面着地更平稳，2个前轮带刹车功能；脚轮具备静音、防静电、防缠绕、灵活等特性，符合医疗安规感染管控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b/>
                <w:bCs/>
                <w:szCs w:val="21"/>
              </w:rPr>
            </w:pPr>
            <w:r>
              <w:rPr>
                <w:rFonts w:hint="eastAsia" w:ascii="微软雅黑" w:hAnsi="微软雅黑" w:eastAsia="微软雅黑" w:cs="微软雅黑"/>
                <w:b/>
                <w:bCs/>
                <w:szCs w:val="21"/>
              </w:rPr>
              <w:t>配件</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b/>
                <w:bCs/>
                <w:szCs w:val="21"/>
              </w:rPr>
            </w:pPr>
            <w:r>
              <w:rPr>
                <w:rFonts w:hint="eastAsia" w:ascii="微软雅黑" w:hAnsi="微软雅黑" w:eastAsia="微软雅黑" w:cs="微软雅黑"/>
                <w:b/>
                <w:bCs/>
                <w:szCs w:val="21"/>
              </w:rPr>
              <w:t>配置垃圾桶*2，中置物盒*1，配件采用模块化设计，方便维护更换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显示器固定支架</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rPr>
            </w:pPr>
            <w:r>
              <w:rPr>
                <w:rFonts w:hint="eastAsia" w:ascii="微软雅黑" w:hAnsi="微软雅黑" w:eastAsia="微软雅黑" w:cs="微软雅黑"/>
                <w:szCs w:val="21"/>
              </w:rPr>
              <w:t>显示器固定支架支持单独≥150mm升降；支持俯角≥15°，仰角≥30°调节；支持横竖屏转换，便于床旁阅片；</w:t>
            </w:r>
            <w:r>
              <w:rPr>
                <w:rFonts w:hint="eastAsia" w:ascii="微软雅黑" w:hAnsi="微软雅黑" w:eastAsia="微软雅黑"/>
              </w:rPr>
              <w:t>显示器线缆完全隐藏于显示器固定支架内，无外漏。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szCs w:val="21"/>
              </w:rPr>
              <w:t>▲</w:t>
            </w:r>
            <w:r>
              <w:rPr>
                <w:rFonts w:hint="eastAsia" w:ascii="微软雅黑" w:hAnsi="微软雅黑" w:eastAsia="微软雅黑" w:cs="微软雅黑"/>
                <w:szCs w:val="21"/>
              </w:rPr>
              <w:t>电量显示</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显示器固定支架上具备LED百分比电量显示灯，方便实时查看电池状态及电量情况（提供百分比电量显示灯位于显示器固定支架的真机实物照片证明）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szCs w:val="21"/>
              </w:rPr>
            </w:pPr>
            <w:r>
              <w:rPr>
                <w:rFonts w:hint="eastAsia" w:ascii="微软雅黑" w:hAnsi="微软雅黑" w:eastAsia="微软雅黑" w:cs="微软雅黑"/>
                <w:szCs w:val="21"/>
              </w:rPr>
              <w:t>显示模块</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尺寸≥23.8”，最佳分辨率≥1920x1080，内置双扬声器，具备人体自动感应识别功能，当人体靠近时，屏幕自动变亮，人体远离时，屏幕亮度自动降低到最低，降低功耗，高效节能。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主机</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CPU：酷睿I5及以上</w:t>
            </w:r>
          </w:p>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内存：≥4GB 内存</w:t>
            </w:r>
          </w:p>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固态硬盘：容量≥128GB</w:t>
            </w:r>
          </w:p>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 xml:space="preserve">操作系统：支持windows </w:t>
            </w:r>
            <w:r>
              <w:rPr>
                <w:rFonts w:ascii="微软雅黑" w:hAnsi="微软雅黑" w:eastAsia="微软雅黑" w:cs="微软雅黑"/>
                <w:szCs w:val="21"/>
              </w:rPr>
              <w:t>10</w:t>
            </w:r>
            <w:r>
              <w:rPr>
                <w:rFonts w:hint="eastAsia" w:ascii="微软雅黑" w:hAnsi="微软雅黑" w:eastAsia="微软雅黑" w:cs="微软雅黑"/>
                <w:szCs w:val="21"/>
              </w:rPr>
              <w:t>专业版及以上</w:t>
            </w:r>
          </w:p>
          <w:p>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Intel系列网卡：支持2.4G/5G Hz Wifi网络，支持802.11 b/g/n/ac以上标准</w:t>
            </w:r>
          </w:p>
          <w:p>
            <w:pPr>
              <w:widowControl/>
              <w:adjustRightInd w:val="0"/>
              <w:snapToGrid w:val="0"/>
              <w:spacing w:line="360" w:lineRule="auto"/>
              <w:jc w:val="left"/>
              <w:rPr>
                <w:rFonts w:ascii="微软雅黑" w:hAnsi="微软雅黑" w:eastAsia="微软雅黑" w:cs="微软雅黑"/>
                <w:kern w:val="0"/>
                <w:sz w:val="24"/>
                <w:szCs w:val="21"/>
              </w:rPr>
            </w:pPr>
            <w:r>
              <w:rPr>
                <w:rFonts w:hint="eastAsia" w:ascii="微软雅黑" w:hAnsi="微软雅黑" w:eastAsia="微软雅黑" w:cs="微软雅黑"/>
                <w:kern w:val="0"/>
                <w:szCs w:val="21"/>
              </w:rPr>
              <w:t>接口：USB3.0≥2个，USB2.0≥</w:t>
            </w:r>
            <w:r>
              <w:rPr>
                <w:rFonts w:ascii="微软雅黑" w:hAnsi="微软雅黑" w:eastAsia="微软雅黑" w:cs="微软雅黑"/>
                <w:kern w:val="0"/>
                <w:szCs w:val="21"/>
              </w:rPr>
              <w:t>6</w:t>
            </w:r>
            <w:r>
              <w:rPr>
                <w:rFonts w:hint="eastAsia" w:ascii="微软雅黑" w:hAnsi="微软雅黑" w:eastAsia="微软雅黑" w:cs="微软雅黑"/>
                <w:kern w:val="0"/>
                <w:szCs w:val="21"/>
              </w:rPr>
              <w:t>个；R</w:t>
            </w:r>
            <w:r>
              <w:rPr>
                <w:rFonts w:ascii="微软雅黑" w:hAnsi="微软雅黑" w:eastAsia="微软雅黑" w:cs="微软雅黑"/>
                <w:kern w:val="0"/>
                <w:szCs w:val="21"/>
              </w:rPr>
              <w:t>J45</w:t>
            </w:r>
            <w:r>
              <w:rPr>
                <w:rFonts w:hint="eastAsia" w:ascii="微软雅黑" w:hAnsi="微软雅黑" w:eastAsia="微软雅黑" w:cs="微软雅黑"/>
                <w:kern w:val="0"/>
                <w:szCs w:val="21"/>
              </w:rPr>
              <w:t>网口≥1个，H</w:t>
            </w:r>
            <w:r>
              <w:rPr>
                <w:rFonts w:ascii="微软雅黑" w:hAnsi="微软雅黑" w:eastAsia="微软雅黑" w:cs="微软雅黑"/>
                <w:kern w:val="0"/>
                <w:szCs w:val="21"/>
              </w:rPr>
              <w:t>DMI</w:t>
            </w:r>
            <w:r>
              <w:rPr>
                <w:rFonts w:hint="eastAsia" w:ascii="微软雅黑" w:hAnsi="微软雅黑" w:eastAsia="微软雅黑" w:cs="微软雅黑"/>
                <w:kern w:val="0"/>
                <w:szCs w:val="21"/>
              </w:rPr>
              <w:t>≥</w:t>
            </w:r>
            <w:r>
              <w:rPr>
                <w:rFonts w:ascii="微软雅黑" w:hAnsi="微软雅黑" w:eastAsia="微软雅黑" w:cs="微软雅黑"/>
                <w:kern w:val="0"/>
                <w:szCs w:val="21"/>
              </w:rPr>
              <w:t>1</w:t>
            </w:r>
            <w:r>
              <w:rPr>
                <w:rFonts w:hint="eastAsia" w:ascii="微软雅黑" w:hAnsi="微软雅黑" w:eastAsia="微软雅黑" w:cs="微软雅黑"/>
                <w:kern w:val="0"/>
                <w:szCs w:val="21"/>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bCs/>
                <w:szCs w:val="21"/>
              </w:rPr>
            </w:pPr>
            <w:r>
              <w:rPr>
                <w:rFonts w:hint="eastAsia" w:ascii="微软雅黑" w:hAnsi="微软雅黑" w:eastAsia="微软雅黑"/>
                <w:szCs w:val="21"/>
              </w:rPr>
              <w:t>▲硬盘支架</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宋体"/>
                <w:kern w:val="0"/>
                <w:szCs w:val="21"/>
              </w:rPr>
              <w:t>配置防震设计的硬盘支架，固定防护硬盘，适合医护人员高频移动操作设备，保障数据存储安全稳定（提供国家相关部门</w:t>
            </w:r>
            <w:r>
              <w:rPr>
                <w:rFonts w:hint="eastAsia" w:ascii="微软雅黑" w:hAnsi="微软雅黑" w:eastAsia="微软雅黑" w:cs="微软雅黑"/>
                <w:szCs w:val="21"/>
              </w:rPr>
              <w:t>颁发的</w:t>
            </w:r>
            <w:r>
              <w:rPr>
                <w:rFonts w:hint="eastAsia" w:ascii="微软雅黑" w:hAnsi="微软雅黑" w:eastAsia="微软雅黑" w:cs="宋体"/>
                <w:kern w:val="0"/>
                <w:szCs w:val="21"/>
              </w:rPr>
              <w:t>硬盘支架硬件结构设计的证书，申请人为</w:t>
            </w:r>
            <w:r>
              <w:rPr>
                <w:rFonts w:hint="eastAsia" w:ascii="微软雅黑" w:hAnsi="微软雅黑" w:eastAsia="微软雅黑" w:cs="微软雅黑"/>
                <w:szCs w:val="21"/>
              </w:rPr>
              <w:t>整车厂商，提供软件著作权或测试报告无效</w:t>
            </w:r>
            <w:r>
              <w:rPr>
                <w:rFonts w:hint="eastAsia" w:ascii="微软雅黑" w:hAnsi="微软雅黑" w:eastAsia="微软雅黑" w:cs="宋体"/>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电源线</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采用隐藏式伸缩电源线，固定在车体上，防盗失，充电时拉伸充电，方便不同距离充电，不充电时支持自动收缩隐藏于车体中。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szCs w:val="21"/>
              </w:rPr>
              <w:t>▲</w:t>
            </w:r>
            <w:r>
              <w:rPr>
                <w:rFonts w:hint="eastAsia" w:ascii="微软雅黑" w:hAnsi="微软雅黑" w:eastAsia="微软雅黑" w:cs="微软雅黑"/>
                <w:szCs w:val="21"/>
              </w:rPr>
              <w:t>电路保护</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cs="微软雅黑"/>
                <w:szCs w:val="21"/>
              </w:rPr>
              <w:t>配置直流马达转动控制模块，防止过压、过流、欠压、过充、过放，保护电路安全（提供国家有关部门颁发的马达转动控制硬件结构设计的证书，申请人为整车厂商，提供软件著作权或测试报告无效）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cs="微软雅黑"/>
                <w:szCs w:val="21"/>
              </w:rPr>
            </w:pPr>
            <w:r>
              <w:rPr>
                <w:rFonts w:hint="eastAsia" w:ascii="微软雅黑" w:hAnsi="微软雅黑" w:eastAsia="微软雅黑"/>
                <w:szCs w:val="21"/>
              </w:rPr>
              <w:t>电池认证</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微软雅黑"/>
                <w:szCs w:val="21"/>
              </w:rPr>
            </w:pPr>
            <w:r>
              <w:rPr>
                <w:rFonts w:hint="eastAsia" w:ascii="微软雅黑" w:hAnsi="微软雅黑" w:eastAsia="微软雅黑"/>
                <w:szCs w:val="21"/>
              </w:rPr>
              <w:t>电池通过CE、FCC、ROHS认证；</w:t>
            </w:r>
            <w:r>
              <w:rPr>
                <w:rFonts w:ascii="微软雅黑" w:hAnsi="微软雅黑" w:eastAsia="微软雅黑" w:cs="微软雅黑"/>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szCs w:val="21"/>
              </w:rPr>
            </w:pPr>
            <w:r>
              <w:rPr>
                <w:rFonts w:hint="eastAsia" w:ascii="微软雅黑" w:hAnsi="微软雅黑" w:eastAsia="微软雅黑"/>
                <w:szCs w:val="21"/>
              </w:rPr>
              <w:t>▲医疗电源</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szCs w:val="21"/>
              </w:rPr>
            </w:pPr>
            <w:r>
              <w:rPr>
                <w:rFonts w:hint="eastAsia" w:ascii="微软雅黑" w:hAnsi="微软雅黑" w:eastAsia="微软雅黑" w:cs="宋体"/>
                <w:kern w:val="0"/>
                <w:szCs w:val="21"/>
              </w:rPr>
              <w:t>配置医疗电源控制模板，确保输出电压、电流可调节，提高电源使用效率，避免能源浪费（提供</w:t>
            </w:r>
            <w:r>
              <w:rPr>
                <w:rFonts w:hint="eastAsia" w:ascii="微软雅黑" w:hAnsi="微软雅黑" w:eastAsia="微软雅黑" w:cs="宋体"/>
                <w:kern w:val="0"/>
                <w:szCs w:val="21"/>
                <w:lang w:val="en-US" w:eastAsia="zh-CN"/>
              </w:rPr>
              <w:t>证明材料</w:t>
            </w:r>
            <w:r>
              <w:rPr>
                <w:rFonts w:hint="eastAsia" w:ascii="微软雅黑" w:hAnsi="微软雅黑" w:eastAsia="微软雅黑" w:cs="宋体"/>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szCs w:val="21"/>
              </w:rPr>
            </w:pPr>
            <w:r>
              <w:rPr>
                <w:rFonts w:hint="eastAsia" w:ascii="微软雅黑" w:hAnsi="微软雅黑" w:eastAsia="微软雅黑"/>
                <w:szCs w:val="21"/>
              </w:rPr>
              <w:t>安全认证</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ascii="微软雅黑" w:hAnsi="微软雅黑" w:eastAsia="微软雅黑" w:cs="宋体"/>
                <w:kern w:val="0"/>
                <w:szCs w:val="21"/>
              </w:rPr>
            </w:pPr>
            <w:r>
              <w:rPr>
                <w:rFonts w:hint="eastAsia" w:ascii="微软雅黑" w:hAnsi="微软雅黑" w:eastAsia="微软雅黑"/>
                <w:szCs w:val="21"/>
              </w:rPr>
              <w:t>整车通过3</w:t>
            </w:r>
            <w:r>
              <w:rPr>
                <w:rFonts w:ascii="微软雅黑" w:hAnsi="微软雅黑" w:eastAsia="微软雅黑"/>
                <w:szCs w:val="21"/>
              </w:rPr>
              <w:t>C</w:t>
            </w:r>
            <w:r>
              <w:rPr>
                <w:rFonts w:hint="eastAsia" w:ascii="微软雅黑" w:hAnsi="微软雅黑" w:eastAsia="微软雅黑"/>
                <w:szCs w:val="21"/>
              </w:rPr>
              <w:t>认证；</w:t>
            </w:r>
            <w:r>
              <w:rPr>
                <w:rFonts w:ascii="微软雅黑" w:hAnsi="微软雅黑" w:eastAsia="微软雅黑" w:cs="宋体"/>
                <w:kern w:val="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5" w:type="dxa"/>
            <w:tcBorders>
              <w:top w:val="single" w:color="auto" w:sz="6" w:space="0"/>
              <w:left w:val="double" w:color="auto" w:sz="4" w:space="0"/>
              <w:bottom w:val="single" w:color="auto" w:sz="6" w:space="0"/>
              <w:right w:val="single" w:color="auto" w:sz="6" w:space="0"/>
            </w:tcBorders>
            <w:vAlign w:val="center"/>
          </w:tcPr>
          <w:p>
            <w:pPr>
              <w:numPr>
                <w:ilvl w:val="0"/>
                <w:numId w:val="4"/>
              </w:numPr>
              <w:adjustRightInd w:val="0"/>
              <w:snapToGrid w:val="0"/>
              <w:spacing w:line="360" w:lineRule="auto"/>
              <w:jc w:val="center"/>
              <w:rPr>
                <w:rFonts w:ascii="微软雅黑" w:hAnsi="微软雅黑" w:eastAsia="微软雅黑" w:cs="微软雅黑"/>
                <w:szCs w:val="21"/>
              </w:rPr>
            </w:pPr>
          </w:p>
        </w:tc>
        <w:tc>
          <w:tcPr>
            <w:tcW w:w="1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微软雅黑" w:hAnsi="微软雅黑" w:eastAsia="微软雅黑"/>
                <w:szCs w:val="21"/>
              </w:rPr>
            </w:pPr>
            <w:r>
              <w:rPr>
                <w:rFonts w:hint="eastAsia" w:ascii="微软雅黑" w:hAnsi="微软雅黑" w:eastAsia="微软雅黑" w:cs="微软雅黑"/>
                <w:szCs w:val="21"/>
              </w:rPr>
              <w:t>抗菌感控</w:t>
            </w:r>
          </w:p>
        </w:tc>
        <w:tc>
          <w:tcPr>
            <w:tcW w:w="6982"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微软雅黑" w:hAnsi="微软雅黑" w:eastAsia="微软雅黑"/>
                <w:szCs w:val="21"/>
              </w:rPr>
            </w:pPr>
            <w:r>
              <w:rPr>
                <w:rFonts w:hint="eastAsia" w:ascii="微软雅黑" w:hAnsi="微软雅黑" w:eastAsia="微软雅黑" w:cs="微软雅黑"/>
                <w:kern w:val="0"/>
                <w:szCs w:val="21"/>
              </w:rPr>
              <w:t>整车采用粉体涂料抑菌处理，抗菌耐腐蚀，抗菌率≥99%。</w:t>
            </w:r>
          </w:p>
        </w:tc>
      </w:tr>
    </w:tbl>
    <w:p>
      <w:pPr>
        <w:widowControl/>
        <w:tabs>
          <w:tab w:val="left" w:pos="7665"/>
        </w:tabs>
        <w:ind w:firstLine="3373" w:firstLineChars="1400"/>
        <w:rPr>
          <w:rFonts w:hint="eastAsia" w:ascii="宋体" w:hAnsi="宋体" w:eastAsia="宋体" w:cs="宋体"/>
          <w:b/>
          <w:color w:val="auto"/>
          <w:sz w:val="24"/>
          <w:highlight w:val="none"/>
          <w:lang w:val="en-US" w:eastAsia="zh-CN"/>
        </w:rPr>
      </w:pPr>
    </w:p>
    <w:p>
      <w:pPr>
        <w:widowControl/>
        <w:tabs>
          <w:tab w:val="left" w:pos="7665"/>
        </w:tabs>
        <w:ind w:firstLine="3373" w:firstLineChars="1400"/>
        <w:rPr>
          <w:rFonts w:hint="eastAsia" w:ascii="宋体" w:hAnsi="宋体" w:eastAsia="宋体" w:cs="Times New Roman"/>
          <w:b/>
          <w:bCs/>
          <w:color w:val="000000"/>
          <w:sz w:val="24"/>
          <w:szCs w:val="24"/>
          <w:lang w:val="en-US" w:eastAsia="zh-CN"/>
        </w:rPr>
      </w:pPr>
      <w:r>
        <w:rPr>
          <w:rFonts w:hint="eastAsia" w:ascii="宋体" w:hAnsi="宋体" w:eastAsia="宋体" w:cs="宋体"/>
          <w:b/>
          <w:color w:val="auto"/>
          <w:sz w:val="24"/>
          <w:highlight w:val="none"/>
          <w:lang w:val="en-US" w:eastAsia="zh-CN"/>
        </w:rPr>
        <w:t>★三</w:t>
      </w:r>
      <w:r>
        <w:rPr>
          <w:rFonts w:hint="eastAsia" w:ascii="宋体" w:hAnsi="宋体" w:eastAsia="宋体" w:cs="Times New Roman"/>
          <w:b/>
          <w:bCs/>
          <w:color w:val="000000"/>
          <w:sz w:val="24"/>
          <w:szCs w:val="24"/>
          <w:lang w:val="en-US" w:eastAsia="zh-CN"/>
        </w:rPr>
        <w:t>、商务要求</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1、交货期及地点 </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1.1 交货日期：合同签订后，产品须在30天内交货并调试交付采购人使用。 </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1.2 交货地点：内江市第二人民医院指定地点。 </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2、付款方式：货物安装、调试、验收合格后，30日内支付合同总金额的50%；货物验收合格半年后，30日内支付合同总金额的</w:t>
      </w:r>
      <w:r>
        <w:rPr>
          <w:rFonts w:hint="eastAsia" w:ascii="宋体" w:hAnsi="宋体" w:eastAsia="宋体" w:cs="Times New Roman"/>
          <w:color w:val="000000"/>
          <w:sz w:val="24"/>
          <w:szCs w:val="24"/>
          <w:lang w:val="en-US" w:eastAsia="zh-CN"/>
        </w:rPr>
        <w:t>40</w:t>
      </w:r>
      <w:r>
        <w:rPr>
          <w:rFonts w:hint="eastAsia" w:ascii="宋体" w:hAnsi="宋体" w:eastAsia="宋体" w:cs="Times New Roman"/>
          <w:color w:val="000000"/>
          <w:sz w:val="24"/>
          <w:szCs w:val="24"/>
        </w:rPr>
        <w:t>%；质保期满后30日内，支付合同总金额的</w:t>
      </w:r>
      <w:r>
        <w:rPr>
          <w:rFonts w:hint="eastAsia" w:ascii="宋体" w:hAnsi="宋体" w:eastAsia="宋体" w:cs="Times New Roman"/>
          <w:color w:val="000000"/>
          <w:sz w:val="24"/>
          <w:szCs w:val="24"/>
          <w:lang w:val="en-US" w:eastAsia="zh-CN"/>
        </w:rPr>
        <w:t>10</w:t>
      </w:r>
      <w:r>
        <w:rPr>
          <w:rFonts w:hint="eastAsia" w:ascii="宋体" w:hAnsi="宋体" w:eastAsia="宋体" w:cs="Times New Roman"/>
          <w:color w:val="000000"/>
          <w:sz w:val="24"/>
          <w:szCs w:val="24"/>
        </w:rPr>
        <w:t>%。</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3、安装调试及验收 </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3.1 </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负责产品安装、调试，直至采购人能正常使用，所需的一切材料、备件、专业工具均由</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负责提供。</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应向采购人提供产品安装、维修所需的专用工具和仪器，所涉及的价格包括在报价总价格中。</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3.2 货物到交货地点现场后，</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 xml:space="preserve">接到采购人通知后到达交货地点现场组织安装、调试，达到正常运行要求，保证采购人正常使用。所需的费用包括在报价总价格中。 </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3.3 </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应就产品的安装、调试、操作、维修、保养等对采购人维修技术人员进行培训。产品安装调试完毕后，</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 xml:space="preserve">应对采购人操作人员进行现场培训，直至采购人的技术人员能独立操作，同时能完成一般常见故障的维修工作。 </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3.4 必须保证提供的货物(包括零部件)是全新的、未使用过的，具有稳定性、可靠性、安全性，并完全符合国家、行业规定的质量、规格和性能要求等技术标准。 </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4、质保期</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 xml:space="preserve">产品质保期均不少于1年，自项目验收交付之日起12月内连续运转良好，终身维护。 </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5、</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在提供产品及相关快递服务时，涉及包装的，具体包装要求需严格按照“商品包装政府采购需求标准（试行）”及“快递包装政府采购需求标准（试行）”执行。</w:t>
      </w:r>
    </w:p>
    <w:p>
      <w:pPr>
        <w:spacing w:before="159" w:beforeLines="50" w:beforeAutospacing="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商务要求</w:t>
      </w:r>
      <w:r>
        <w:rPr>
          <w:rFonts w:hint="eastAsia" w:ascii="宋体" w:hAnsi="宋体" w:eastAsia="宋体" w:cs="宋体"/>
          <w:b/>
          <w:color w:val="auto"/>
          <w:sz w:val="24"/>
          <w:szCs w:val="24"/>
          <w:highlight w:val="none"/>
        </w:rPr>
        <w:t>为实质性条款，不满足作无效响应处理</w:t>
      </w:r>
      <w:r>
        <w:rPr>
          <w:rFonts w:hint="eastAsia" w:ascii="宋体" w:hAnsi="宋体" w:eastAsia="宋体" w:cs="宋体"/>
          <w:b/>
          <w:color w:val="auto"/>
          <w:sz w:val="24"/>
          <w:szCs w:val="24"/>
          <w:highlight w:val="none"/>
          <w:lang w:eastAsia="zh-CN"/>
        </w:rPr>
        <w:t>。</w:t>
      </w:r>
    </w:p>
    <w:p>
      <w:pPr>
        <w:pageBreakBefore/>
        <w:adjustRightInd w:val="0"/>
        <w:snapToGrid w:val="0"/>
        <w:spacing w:before="163" w:beforeLines="50" w:after="163" w:afterLines="50" w:line="360" w:lineRule="auto"/>
        <w:ind w:firstLine="3362" w:firstLineChars="1200"/>
        <w:jc w:val="both"/>
        <w:outlineLvl w:val="0"/>
        <w:rPr>
          <w:rFonts w:ascii="微软雅黑" w:hAnsi="微软雅黑" w:eastAsia="微软雅黑"/>
        </w:rPr>
      </w:pPr>
      <w:r>
        <w:rPr>
          <w:rFonts w:hint="eastAsia" w:ascii="微软雅黑" w:hAnsi="微软雅黑" w:eastAsia="微软雅黑" w:cs="Times New Roman"/>
          <w:b/>
          <w:bCs/>
          <w:i w:val="0"/>
          <w:iCs w:val="0"/>
          <w:color w:val="auto"/>
          <w:kern w:val="2"/>
          <w:sz w:val="28"/>
          <w:szCs w:val="22"/>
          <w:highlight w:val="none"/>
          <w:vertAlign w:val="baseline"/>
          <w:lang w:val="en-US" w:eastAsia="zh-CN"/>
        </w:rPr>
        <w:t>四、</w:t>
      </w:r>
      <w:bookmarkStart w:id="0" w:name="_GoBack"/>
      <w:bookmarkEnd w:id="0"/>
      <w:r>
        <w:rPr>
          <w:rFonts w:hint="default" w:ascii="微软雅黑" w:hAnsi="微软雅黑" w:eastAsia="微软雅黑" w:cs="Times New Roman"/>
          <w:b/>
          <w:bCs/>
          <w:i w:val="0"/>
          <w:iCs w:val="0"/>
          <w:color w:val="auto"/>
          <w:kern w:val="2"/>
          <w:sz w:val="28"/>
          <w:szCs w:val="22"/>
          <w:highlight w:val="none"/>
          <w:vertAlign w:val="baseline"/>
          <w:lang w:val="en-US" w:eastAsia="zh-CN"/>
        </w:rPr>
        <w:t>评分标准</w:t>
      </w:r>
    </w:p>
    <w:p>
      <w:pPr>
        <w:tabs>
          <w:tab w:val="left" w:pos="360"/>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本项目采用综合评分法，按价格、技术和商务三部分分别打分的方式进行评分，以最终评标总得分最高的投标人作为第一中标候选人。</w:t>
      </w:r>
    </w:p>
    <w:tbl>
      <w:tblPr>
        <w:tblStyle w:val="18"/>
        <w:tblW w:w="9286" w:type="dxa"/>
        <w:jc w:val="center"/>
        <w:tblLayout w:type="fixed"/>
        <w:tblCellMar>
          <w:top w:w="0" w:type="dxa"/>
          <w:left w:w="108" w:type="dxa"/>
          <w:bottom w:w="0" w:type="dxa"/>
          <w:right w:w="108" w:type="dxa"/>
        </w:tblCellMar>
      </w:tblPr>
      <w:tblGrid>
        <w:gridCol w:w="1106"/>
        <w:gridCol w:w="714"/>
        <w:gridCol w:w="1139"/>
        <w:gridCol w:w="6327"/>
      </w:tblGrid>
      <w:tr>
        <w:tblPrEx>
          <w:tblCellMar>
            <w:top w:w="0" w:type="dxa"/>
            <w:left w:w="108" w:type="dxa"/>
            <w:bottom w:w="0" w:type="dxa"/>
            <w:right w:w="108" w:type="dxa"/>
          </w:tblCellMar>
        </w:tblPrEx>
        <w:trPr>
          <w:jc w:val="center"/>
        </w:trPr>
        <w:tc>
          <w:tcPr>
            <w:tcW w:w="11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内容</w:t>
            </w:r>
          </w:p>
        </w:tc>
        <w:tc>
          <w:tcPr>
            <w:tcW w:w="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分值</w:t>
            </w:r>
          </w:p>
        </w:tc>
        <w:tc>
          <w:tcPr>
            <w:tcW w:w="11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评分</w:t>
            </w:r>
          </w:p>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因素</w:t>
            </w:r>
          </w:p>
        </w:tc>
        <w:tc>
          <w:tcPr>
            <w:tcW w:w="6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评分细则</w:t>
            </w:r>
          </w:p>
        </w:tc>
      </w:tr>
      <w:tr>
        <w:tblPrEx>
          <w:tblCellMar>
            <w:top w:w="0" w:type="dxa"/>
            <w:left w:w="108" w:type="dxa"/>
            <w:bottom w:w="0" w:type="dxa"/>
            <w:right w:w="108" w:type="dxa"/>
          </w:tblCellMar>
        </w:tblPrEx>
        <w:trPr>
          <w:jc w:val="center"/>
        </w:trPr>
        <w:tc>
          <w:tcPr>
            <w:tcW w:w="11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价格</w:t>
            </w:r>
          </w:p>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部分</w:t>
            </w:r>
          </w:p>
        </w:tc>
        <w:tc>
          <w:tcPr>
            <w:tcW w:w="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3</w:t>
            </w:r>
            <w:r>
              <w:rPr>
                <w:rFonts w:hint="eastAsia" w:ascii="微软雅黑" w:hAnsi="微软雅黑" w:eastAsia="微软雅黑" w:cs="Times New Roman"/>
                <w:b w:val="0"/>
                <w:bCs w:val="0"/>
                <w:i w:val="0"/>
                <w:iCs w:val="0"/>
                <w:color w:val="auto"/>
                <w:kern w:val="2"/>
                <w:sz w:val="21"/>
                <w:szCs w:val="21"/>
                <w:highlight w:val="none"/>
                <w:vertAlign w:val="baseline"/>
                <w:lang w:val="en-US" w:eastAsia="zh-CN"/>
              </w:rPr>
              <w:t>2</w:t>
            </w: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分</w:t>
            </w:r>
          </w:p>
        </w:tc>
        <w:tc>
          <w:tcPr>
            <w:tcW w:w="11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价格</w:t>
            </w:r>
          </w:p>
        </w:tc>
        <w:tc>
          <w:tcPr>
            <w:tcW w:w="6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微软雅黑"/>
                <w:b w:val="0"/>
                <w:bCs w:val="0"/>
                <w:i w:val="0"/>
                <w:iCs w:val="0"/>
                <w:color w:val="auto"/>
                <w:kern w:val="2"/>
                <w:sz w:val="21"/>
                <w:szCs w:val="21"/>
                <w:highlight w:val="none"/>
                <w:vertAlign w:val="baseline"/>
                <w:lang w:val="en-US" w:eastAsia="zh-CN"/>
              </w:rPr>
              <w:t>价格分计算公式如下：</w:t>
            </w:r>
          </w:p>
          <w:p>
            <w:pPr>
              <w:tabs>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微软雅黑"/>
                <w:b w:val="0"/>
                <w:bCs w:val="0"/>
                <w:i w:val="0"/>
                <w:iCs w:val="0"/>
                <w:color w:val="auto"/>
                <w:kern w:val="2"/>
                <w:sz w:val="21"/>
                <w:szCs w:val="21"/>
                <w:highlight w:val="none"/>
                <w:vertAlign w:val="baseline"/>
                <w:lang w:val="en-US" w:eastAsia="zh-CN"/>
              </w:rPr>
              <w:t>采用低价优先法计算，即以通过资格性和符合性审查且投标价格最低的投标报价为评标基准价，其价格分为满分30分。其他投标人的价格分统一按照下列公式计算；</w:t>
            </w:r>
          </w:p>
          <w:p>
            <w:pPr>
              <w:tabs>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微软雅黑"/>
                <w:b w:val="0"/>
                <w:bCs w:val="0"/>
                <w:i w:val="0"/>
                <w:iCs w:val="0"/>
                <w:color w:val="auto"/>
                <w:kern w:val="2"/>
                <w:sz w:val="21"/>
                <w:szCs w:val="21"/>
                <w:highlight w:val="none"/>
                <w:vertAlign w:val="baseline"/>
                <w:lang w:val="en-US" w:eastAsia="zh-CN"/>
              </w:rPr>
              <w:t>投标报价得分=（评标基准价／投标报价）×30；</w:t>
            </w:r>
          </w:p>
          <w:p>
            <w:pPr>
              <w:tabs>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微软雅黑"/>
                <w:b w:val="0"/>
                <w:bCs w:val="0"/>
                <w:i w:val="0"/>
                <w:iCs w:val="0"/>
                <w:color w:val="auto"/>
                <w:kern w:val="0"/>
                <w:sz w:val="21"/>
                <w:szCs w:val="21"/>
                <w:highlight w:val="none"/>
                <w:vertAlign w:val="baseline"/>
                <w:lang w:val="zh-CN" w:eastAsia="zh-CN"/>
              </w:rPr>
              <w:t>投标总价低于</w:t>
            </w:r>
            <w:r>
              <w:rPr>
                <w:rFonts w:hint="default" w:ascii="微软雅黑" w:hAnsi="微软雅黑" w:eastAsia="微软雅黑" w:cs="微软雅黑"/>
                <w:b w:val="0"/>
                <w:bCs w:val="0"/>
                <w:i w:val="0"/>
                <w:iCs w:val="0"/>
                <w:color w:val="auto"/>
                <w:kern w:val="2"/>
                <w:sz w:val="21"/>
                <w:szCs w:val="21"/>
                <w:highlight w:val="none"/>
                <w:vertAlign w:val="baseline"/>
                <w:lang w:val="en-US" w:eastAsia="zh-CN"/>
              </w:rPr>
              <w:t>预算</w:t>
            </w:r>
            <w:r>
              <w:rPr>
                <w:rFonts w:hint="default" w:ascii="微软雅黑" w:hAnsi="微软雅黑" w:eastAsia="微软雅黑" w:cs="微软雅黑"/>
                <w:b w:val="0"/>
                <w:bCs w:val="0"/>
                <w:i w:val="0"/>
                <w:iCs w:val="0"/>
                <w:color w:val="auto"/>
                <w:kern w:val="0"/>
                <w:sz w:val="21"/>
                <w:szCs w:val="21"/>
                <w:highlight w:val="none"/>
                <w:vertAlign w:val="baseline"/>
                <w:lang w:val="zh-CN" w:eastAsia="zh-CN"/>
              </w:rPr>
              <w:t>限额的70%或明显低于其他投标人报价，</w:t>
            </w:r>
            <w:r>
              <w:rPr>
                <w:rFonts w:hint="default" w:ascii="微软雅黑" w:hAnsi="微软雅黑" w:eastAsia="微软雅黑" w:cs="微软雅黑"/>
                <w:b w:val="0"/>
                <w:bCs w:val="0"/>
                <w:i w:val="0"/>
                <w:iCs w:val="0"/>
                <w:color w:val="auto"/>
                <w:kern w:val="0"/>
                <w:sz w:val="21"/>
                <w:szCs w:val="21"/>
                <w:highlight w:val="none"/>
                <w:vertAlign w:val="baseline"/>
                <w:lang w:val="en-US" w:eastAsia="zh-CN"/>
              </w:rPr>
              <w:t>须在评标现场合理的时间内提供书面说明及相关证明材料</w:t>
            </w:r>
            <w:r>
              <w:rPr>
                <w:rFonts w:hint="default" w:ascii="微软雅黑" w:hAnsi="微软雅黑" w:eastAsia="微软雅黑" w:cs="微软雅黑"/>
                <w:b w:val="0"/>
                <w:bCs w:val="0"/>
                <w:i w:val="0"/>
                <w:iCs w:val="0"/>
                <w:color w:val="auto"/>
                <w:kern w:val="0"/>
                <w:sz w:val="21"/>
                <w:szCs w:val="21"/>
                <w:highlight w:val="none"/>
                <w:vertAlign w:val="baseline"/>
                <w:lang w:val="zh-CN" w:eastAsia="zh-CN"/>
              </w:rPr>
              <w:t>，</w:t>
            </w:r>
            <w:r>
              <w:rPr>
                <w:rFonts w:hint="default" w:ascii="微软雅黑" w:hAnsi="微软雅黑" w:eastAsia="微软雅黑" w:cs="微软雅黑"/>
                <w:b w:val="0"/>
                <w:bCs w:val="0"/>
                <w:i w:val="0"/>
                <w:iCs w:val="0"/>
                <w:color w:val="auto"/>
                <w:kern w:val="0"/>
                <w:sz w:val="21"/>
                <w:szCs w:val="21"/>
                <w:highlight w:val="none"/>
                <w:vertAlign w:val="baseline"/>
                <w:lang w:val="en-US" w:eastAsia="zh-CN"/>
              </w:rPr>
              <w:t>投标人不能证明其报价合理性的，评标委员会应当将其视为无效投标处理。</w:t>
            </w:r>
          </w:p>
        </w:tc>
      </w:tr>
      <w:tr>
        <w:tblPrEx>
          <w:tblCellMar>
            <w:top w:w="0" w:type="dxa"/>
            <w:left w:w="108" w:type="dxa"/>
            <w:bottom w:w="0" w:type="dxa"/>
            <w:right w:w="108" w:type="dxa"/>
          </w:tblCellMar>
        </w:tblPrEx>
        <w:trPr>
          <w:jc w:val="center"/>
        </w:trPr>
        <w:tc>
          <w:tcPr>
            <w:tcW w:w="11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技术</w:t>
            </w:r>
          </w:p>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部分</w:t>
            </w:r>
          </w:p>
        </w:tc>
        <w:tc>
          <w:tcPr>
            <w:tcW w:w="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eastAsia" w:ascii="微软雅黑" w:hAnsi="微软雅黑" w:eastAsia="微软雅黑" w:cs="Times New Roman"/>
                <w:b w:val="0"/>
                <w:bCs w:val="0"/>
                <w:i w:val="0"/>
                <w:iCs w:val="0"/>
                <w:color w:val="auto"/>
                <w:kern w:val="2"/>
                <w:sz w:val="21"/>
                <w:szCs w:val="21"/>
                <w:highlight w:val="none"/>
                <w:vertAlign w:val="baseline"/>
                <w:lang w:val="en-US" w:eastAsia="zh-CN"/>
              </w:rPr>
              <w:t>46</w:t>
            </w: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分</w:t>
            </w:r>
          </w:p>
        </w:tc>
        <w:tc>
          <w:tcPr>
            <w:tcW w:w="11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技术参数</w:t>
            </w:r>
          </w:p>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响应情况</w:t>
            </w:r>
          </w:p>
        </w:tc>
        <w:tc>
          <w:tcPr>
            <w:tcW w:w="6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投标人须按技术参数要求中的编号逐条应答，全部满足各项技术参数指标及要求的得</w:t>
            </w:r>
            <w:r>
              <w:rPr>
                <w:rFonts w:hint="eastAsia" w:ascii="微软雅黑" w:hAnsi="微软雅黑" w:eastAsia="微软雅黑" w:cs="Times New Roman"/>
                <w:b w:val="0"/>
                <w:bCs w:val="0"/>
                <w:i w:val="0"/>
                <w:iCs w:val="0"/>
                <w:color w:val="auto"/>
                <w:kern w:val="2"/>
                <w:sz w:val="21"/>
                <w:szCs w:val="21"/>
                <w:highlight w:val="none"/>
                <w:vertAlign w:val="baseline"/>
                <w:lang w:val="en-US" w:eastAsia="zh-CN"/>
              </w:rPr>
              <w:t>46</w:t>
            </w: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分；</w:t>
            </w:r>
          </w:p>
          <w:p>
            <w:pPr>
              <w:tabs>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一般参数每负偏离一项扣</w:t>
            </w:r>
            <w:r>
              <w:rPr>
                <w:rFonts w:hint="eastAsia" w:ascii="微软雅黑" w:hAnsi="微软雅黑" w:eastAsia="微软雅黑" w:cs="Times New Roman"/>
                <w:b w:val="0"/>
                <w:bCs w:val="0"/>
                <w:i w:val="0"/>
                <w:iCs w:val="0"/>
                <w:color w:val="auto"/>
                <w:kern w:val="2"/>
                <w:sz w:val="21"/>
                <w:szCs w:val="21"/>
                <w:highlight w:val="none"/>
                <w:vertAlign w:val="baseline"/>
                <w:lang w:val="en-US" w:eastAsia="zh-CN"/>
              </w:rPr>
              <w:t>1</w:t>
            </w: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分，带“▲”的为重要参数，每负偏离一项扣</w:t>
            </w:r>
            <w:r>
              <w:rPr>
                <w:rFonts w:hint="eastAsia" w:ascii="微软雅黑" w:hAnsi="微软雅黑" w:eastAsia="微软雅黑" w:cs="Times New Roman"/>
                <w:b w:val="0"/>
                <w:bCs w:val="0"/>
                <w:i w:val="0"/>
                <w:iCs w:val="0"/>
                <w:color w:val="auto"/>
                <w:kern w:val="2"/>
                <w:sz w:val="21"/>
                <w:szCs w:val="21"/>
                <w:highlight w:val="none"/>
                <w:vertAlign w:val="baseline"/>
                <w:lang w:val="en-US" w:eastAsia="zh-CN"/>
              </w:rPr>
              <w:t>3</w:t>
            </w: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 xml:space="preserve">分，扣完为止； </w:t>
            </w:r>
          </w:p>
          <w:p>
            <w:pPr>
              <w:tabs>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招标文件要求提供技术证明文件的,投标人必须如实响应并提供符合要求的证明文件，不能提供符合要求的证明文件的视为负偏离，作相应扣分处理。</w:t>
            </w:r>
          </w:p>
        </w:tc>
      </w:tr>
      <w:tr>
        <w:tblPrEx>
          <w:tblCellMar>
            <w:top w:w="0" w:type="dxa"/>
            <w:left w:w="108" w:type="dxa"/>
            <w:bottom w:w="0" w:type="dxa"/>
            <w:right w:w="108" w:type="dxa"/>
          </w:tblCellMar>
        </w:tblPrEx>
        <w:trPr>
          <w:jc w:val="center"/>
        </w:trPr>
        <w:tc>
          <w:tcPr>
            <w:tcW w:w="1106" w:type="dxa"/>
            <w:vMerge w:val="restart"/>
            <w:tcBorders>
              <w:top w:val="single" w:color="auto" w:sz="4" w:space="0"/>
              <w:left w:val="single" w:color="auto" w:sz="4" w:space="0"/>
              <w:right w:val="single" w:color="auto" w:sz="4" w:space="0"/>
            </w:tcBorders>
            <w:vAlign w:val="center"/>
          </w:tcPr>
          <w:p>
            <w:pPr>
              <w:tabs>
                <w:tab w:val="left" w:pos="360"/>
                <w:tab w:val="left" w:pos="840"/>
              </w:tabs>
              <w:adjustRightInd w:val="0"/>
              <w:snapToGrid w:val="0"/>
              <w:spacing w:line="360" w:lineRule="auto"/>
              <w:jc w:val="center"/>
              <w:rPr>
                <w:rFonts w:ascii="微软雅黑" w:hAnsi="微软雅黑" w:eastAsia="微软雅黑"/>
              </w:rPr>
            </w:pPr>
          </w:p>
        </w:tc>
        <w:tc>
          <w:tcPr>
            <w:tcW w:w="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eastAsia" w:ascii="微软雅黑" w:hAnsi="微软雅黑" w:eastAsia="微软雅黑" w:cs="Times New Roman"/>
                <w:b w:val="0"/>
                <w:bCs w:val="0"/>
                <w:i w:val="0"/>
                <w:iCs w:val="0"/>
                <w:color w:val="auto"/>
                <w:kern w:val="2"/>
                <w:sz w:val="21"/>
                <w:szCs w:val="21"/>
                <w:highlight w:val="none"/>
                <w:vertAlign w:val="baseline"/>
                <w:lang w:val="en-US" w:eastAsia="zh-CN"/>
              </w:rPr>
              <w:t>12</w:t>
            </w: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分</w:t>
            </w:r>
          </w:p>
        </w:tc>
        <w:tc>
          <w:tcPr>
            <w:tcW w:w="11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售后服务方案</w:t>
            </w:r>
          </w:p>
        </w:tc>
        <w:tc>
          <w:tcPr>
            <w:tcW w:w="6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评标委员会根据投标人提供的售后服务方案完整性和合理性在0～6分范围之间进行评分：需提供售后服务计划、服务内容、服务保障体系、服务响应时间、应急预案及保障措施。</w:t>
            </w:r>
          </w:p>
        </w:tc>
      </w:tr>
      <w:tr>
        <w:tblPrEx>
          <w:tblCellMar>
            <w:top w:w="0" w:type="dxa"/>
            <w:left w:w="108" w:type="dxa"/>
            <w:bottom w:w="0" w:type="dxa"/>
            <w:right w:w="108" w:type="dxa"/>
          </w:tblCellMar>
        </w:tblPrEx>
        <w:trPr>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tabs>
                <w:tab w:val="left" w:pos="360"/>
                <w:tab w:val="left" w:pos="840"/>
              </w:tabs>
              <w:adjustRightInd w:val="0"/>
              <w:snapToGrid w:val="0"/>
              <w:spacing w:line="360" w:lineRule="auto"/>
              <w:jc w:val="center"/>
              <w:rPr>
                <w:rFonts w:ascii="微软雅黑" w:hAnsi="微软雅黑" w:eastAsia="微软雅黑"/>
              </w:rPr>
            </w:pPr>
          </w:p>
        </w:tc>
        <w:tc>
          <w:tcPr>
            <w:tcW w:w="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eastAsia" w:ascii="微软雅黑" w:hAnsi="微软雅黑" w:eastAsia="微软雅黑" w:cs="Times New Roman"/>
                <w:b w:val="0"/>
                <w:bCs w:val="0"/>
                <w:i w:val="0"/>
                <w:iCs w:val="0"/>
                <w:color w:val="auto"/>
                <w:kern w:val="2"/>
                <w:sz w:val="21"/>
                <w:szCs w:val="21"/>
                <w:highlight w:val="none"/>
                <w:vertAlign w:val="baseline"/>
                <w:lang w:val="en-US" w:eastAsia="zh-CN"/>
              </w:rPr>
              <w:t>8</w:t>
            </w: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分</w:t>
            </w:r>
          </w:p>
        </w:tc>
        <w:tc>
          <w:tcPr>
            <w:tcW w:w="11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培训方案</w:t>
            </w:r>
          </w:p>
        </w:tc>
        <w:tc>
          <w:tcPr>
            <w:tcW w:w="6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评标委员会根据投标人提供的培训方案完整性和合理性在0～6分范围之间进行评分：需提供培训计划、培训内容、培训方式、培训讲师安排。</w:t>
            </w:r>
          </w:p>
        </w:tc>
      </w:tr>
      <w:tr>
        <w:tblPrEx>
          <w:tblCellMar>
            <w:top w:w="0" w:type="dxa"/>
            <w:left w:w="108" w:type="dxa"/>
            <w:bottom w:w="0" w:type="dxa"/>
            <w:right w:w="108" w:type="dxa"/>
          </w:tblCellMar>
        </w:tblPrEx>
        <w:trPr>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tabs>
                <w:tab w:val="left" w:pos="360"/>
                <w:tab w:val="left" w:pos="840"/>
              </w:tabs>
              <w:adjustRightInd w:val="0"/>
              <w:snapToGrid w:val="0"/>
              <w:spacing w:line="360" w:lineRule="auto"/>
              <w:jc w:val="center"/>
              <w:rPr>
                <w:rFonts w:ascii="微软雅黑" w:hAnsi="微软雅黑" w:eastAsia="微软雅黑"/>
              </w:rPr>
            </w:pPr>
          </w:p>
        </w:tc>
        <w:tc>
          <w:tcPr>
            <w:tcW w:w="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2分</w:t>
            </w:r>
          </w:p>
        </w:tc>
        <w:tc>
          <w:tcPr>
            <w:tcW w:w="11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adjustRightInd w:val="0"/>
              <w:snapToGrid w:val="0"/>
              <w:spacing w:line="360" w:lineRule="auto"/>
              <w:jc w:val="center"/>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同类业绩</w:t>
            </w:r>
          </w:p>
        </w:tc>
        <w:tc>
          <w:tcPr>
            <w:tcW w:w="6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每提供一份所投同品牌同类产品项目业绩的得1分，最多得2分。</w:t>
            </w:r>
          </w:p>
          <w:p>
            <w:pPr>
              <w:tabs>
                <w:tab w:val="left" w:pos="840"/>
              </w:tabs>
              <w:adjustRightInd w:val="0"/>
              <w:snapToGrid w:val="0"/>
              <w:spacing w:line="360" w:lineRule="auto"/>
              <w:jc w:val="both"/>
              <w:rPr>
                <w:rFonts w:ascii="微软雅黑" w:hAnsi="微软雅黑" w:eastAsia="微软雅黑"/>
              </w:rPr>
            </w:pPr>
            <w:r>
              <w:rPr>
                <w:rFonts w:hint="default" w:ascii="微软雅黑" w:hAnsi="微软雅黑" w:eastAsia="微软雅黑" w:cs="Times New Roman"/>
                <w:b w:val="0"/>
                <w:bCs w:val="0"/>
                <w:i w:val="0"/>
                <w:iCs w:val="0"/>
                <w:color w:val="auto"/>
                <w:kern w:val="2"/>
                <w:sz w:val="21"/>
                <w:szCs w:val="21"/>
                <w:highlight w:val="none"/>
                <w:vertAlign w:val="baseline"/>
                <w:lang w:val="en-US" w:eastAsia="zh-CN"/>
              </w:rPr>
              <w:t>注：在投标文件中提供采购合同佐证（含首页、设备清单页、签字或盖章页复印件），未按要求提供的业绩或用其他产品冒充或提供虚假业绩，业绩不予认可。</w:t>
            </w:r>
          </w:p>
        </w:tc>
      </w:tr>
    </w:tbl>
    <w:p>
      <w:pPr>
        <w:adjustRightInd w:val="0"/>
        <w:snapToGrid w:val="0"/>
        <w:spacing w:line="360" w:lineRule="auto"/>
        <w:jc w:val="left"/>
        <w:rPr>
          <w:rFonts w:ascii="微软雅黑" w:hAnsi="微软雅黑" w:eastAsia="微软雅黑"/>
        </w:rPr>
      </w:pPr>
    </w:p>
    <w:p/>
    <w:sectPr>
      <w:pgSz w:w="11906" w:h="16838"/>
      <w:pgMar w:top="1418" w:right="1418" w:bottom="1418" w:left="1418"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chineseCountingThousand"/>
      <w:lvlText w:val="%1、"/>
      <w:lvlJc w:val="left"/>
      <w:pPr>
        <w:ind w:left="846" w:hanging="420"/>
      </w:pPr>
      <w:rPr>
        <w:rFonts w:hint="eastAsia"/>
        <w:b/>
        <w:i w:val="0"/>
        <w:iCs w:val="0"/>
        <w:caps w:val="0"/>
        <w:vanish w:val="0"/>
        <w:color w:val="000000"/>
        <w:spacing w:val="0"/>
        <w:w w:val="100"/>
        <w:position w:val="0"/>
        <w:sz w:val="28"/>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00000002"/>
    <w:multiLevelType w:val="multilevel"/>
    <w:tmpl w:val="00000002"/>
    <w:lvl w:ilvl="0" w:tentative="0">
      <w:start w:val="1"/>
      <w:numFmt w:val="decimal"/>
      <w:lvlText w:val="%1."/>
      <w:lvlJc w:val="left"/>
      <w:pPr>
        <w:ind w:left="420" w:hanging="420"/>
      </w:pPr>
      <w:rPr>
        <w:rFonts w:hint="eastAsia" w:ascii="微软雅黑" w:hAnsi="微软雅黑" w:eastAsia="微软雅黑"/>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E792E11"/>
    <w:rsid w:val="7B18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9"/>
    <w:pPr>
      <w:keepNext/>
      <w:keepLines/>
      <w:jc w:val="center"/>
      <w:outlineLvl w:val="0"/>
    </w:pPr>
    <w:rPr>
      <w:b/>
      <w:bCs/>
      <w:kern w:val="44"/>
      <w:sz w:val="32"/>
      <w:szCs w:val="44"/>
    </w:rPr>
  </w:style>
  <w:style w:type="paragraph" w:styleId="4">
    <w:name w:val="heading 2"/>
    <w:basedOn w:val="1"/>
    <w:next w:val="1"/>
    <w:link w:val="22"/>
    <w:qFormat/>
    <w:uiPriority w:val="9"/>
    <w:pPr>
      <w:keepNext/>
      <w:keepLines/>
      <w:jc w:val="center"/>
      <w:outlineLvl w:val="1"/>
    </w:pPr>
    <w:rPr>
      <w:rFonts w:hAnsi="等线 Light" w:cs="宋体"/>
      <w:b/>
      <w:bCs/>
      <w:sz w:val="30"/>
      <w:szCs w:val="32"/>
    </w:rPr>
  </w:style>
  <w:style w:type="paragraph" w:styleId="5">
    <w:name w:val="heading 3"/>
    <w:basedOn w:val="1"/>
    <w:next w:val="1"/>
    <w:link w:val="27"/>
    <w:qFormat/>
    <w:uiPriority w:val="0"/>
    <w:pPr>
      <w:keepNext/>
      <w:keepLines/>
      <w:jc w:val="center"/>
      <w:textAlignment w:val="baseline"/>
      <w:outlineLvl w:val="2"/>
    </w:pPr>
    <w:rPr>
      <w:b/>
      <w:bCs/>
      <w:sz w:val="28"/>
      <w:szCs w:val="32"/>
    </w:rPr>
  </w:style>
  <w:style w:type="paragraph" w:styleId="6">
    <w:name w:val="heading 4"/>
    <w:basedOn w:val="1"/>
    <w:next w:val="1"/>
    <w:link w:val="28"/>
    <w:qFormat/>
    <w:uiPriority w:val="0"/>
    <w:pPr>
      <w:keepNext/>
      <w:keepLines/>
      <w:textAlignment w:val="baseline"/>
      <w:outlineLvl w:val="3"/>
    </w:pPr>
    <w:rPr>
      <w:rFonts w:hAnsi="微软雅黑"/>
      <w:b/>
      <w:bCs/>
      <w:szCs w:val="28"/>
    </w:rPr>
  </w:style>
  <w:style w:type="paragraph" w:styleId="7">
    <w:name w:val="heading 5"/>
    <w:basedOn w:val="1"/>
    <w:next w:val="1"/>
    <w:link w:val="29"/>
    <w:qFormat/>
    <w:uiPriority w:val="9"/>
    <w:pPr>
      <w:keepNext/>
      <w:keepLines/>
      <w:jc w:val="center"/>
      <w:outlineLvl w:val="4"/>
    </w:pPr>
    <w:rPr>
      <w:b/>
      <w:bCs/>
      <w:szCs w:val="28"/>
    </w:rPr>
  </w:style>
  <w:style w:type="paragraph" w:styleId="8">
    <w:name w:val="heading 6"/>
    <w:basedOn w:val="1"/>
    <w:next w:val="1"/>
    <w:link w:val="30"/>
    <w:qFormat/>
    <w:uiPriority w:val="9"/>
    <w:pPr>
      <w:keepNext/>
      <w:keepLines/>
      <w:outlineLvl w:val="5"/>
    </w:pPr>
    <w:rPr>
      <w:rFonts w:hAnsi="Cambria"/>
      <w:b/>
      <w:bCs/>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w:basedOn w:val="1"/>
    <w:next w:val="1"/>
    <w:link w:val="33"/>
    <w:qFormat/>
    <w:uiPriority w:val="99"/>
    <w:pPr>
      <w:spacing w:after="120"/>
    </w:pPr>
  </w:style>
  <w:style w:type="paragraph" w:styleId="9">
    <w:name w:val="Body Text Indent"/>
    <w:basedOn w:val="1"/>
    <w:link w:val="31"/>
    <w:qFormat/>
    <w:uiPriority w:val="99"/>
    <w:pPr>
      <w:spacing w:after="120"/>
      <w:ind w:left="420" w:leftChars="200"/>
    </w:pPr>
  </w:style>
  <w:style w:type="paragraph" w:styleId="10">
    <w:name w:val="toc 3"/>
    <w:basedOn w:val="1"/>
    <w:next w:val="1"/>
    <w:qFormat/>
    <w:uiPriority w:val="39"/>
    <w:pPr>
      <w:tabs>
        <w:tab w:val="right" w:leader="dot" w:pos="9060"/>
      </w:tabs>
      <w:kinsoku w:val="0"/>
      <w:autoSpaceDE w:val="0"/>
      <w:autoSpaceDN w:val="0"/>
      <w:ind w:left="400" w:leftChars="400"/>
      <w:textAlignment w:val="baseline"/>
    </w:pPr>
    <w:rPr>
      <w:rFonts w:hAnsi="Arial" w:cs="Arial"/>
      <w:snapToGrid w:val="0"/>
      <w:color w:val="000000"/>
      <w:szCs w:val="21"/>
    </w:rPr>
  </w:style>
  <w:style w:type="paragraph" w:styleId="11">
    <w:name w:val="toc 1"/>
    <w:basedOn w:val="1"/>
    <w:next w:val="1"/>
    <w:qFormat/>
    <w:uiPriority w:val="39"/>
    <w:pPr>
      <w:kinsoku w:val="0"/>
      <w:autoSpaceDE w:val="0"/>
      <w:autoSpaceDN w:val="0"/>
      <w:textAlignment w:val="baseline"/>
    </w:pPr>
    <w:rPr>
      <w:rFonts w:cs="Arial"/>
      <w:snapToGrid w:val="0"/>
      <w:color w:val="000000"/>
      <w:szCs w:val="21"/>
    </w:rPr>
  </w:style>
  <w:style w:type="paragraph" w:styleId="12">
    <w:name w:val="toc 4"/>
    <w:basedOn w:val="1"/>
    <w:next w:val="1"/>
    <w:qFormat/>
    <w:uiPriority w:val="39"/>
    <w:pPr>
      <w:ind w:left="500" w:leftChars="500"/>
    </w:pPr>
    <w:rPr>
      <w:rFonts w:cs="Calibri"/>
      <w:szCs w:val="18"/>
    </w:rPr>
  </w:style>
  <w:style w:type="paragraph" w:styleId="13">
    <w:name w:val="Subtitle"/>
    <w:basedOn w:val="1"/>
    <w:next w:val="1"/>
    <w:link w:val="24"/>
    <w:qFormat/>
    <w:uiPriority w:val="11"/>
    <w:pPr>
      <w:jc w:val="center"/>
      <w:outlineLvl w:val="1"/>
    </w:pPr>
    <w:rPr>
      <w:b/>
      <w:bCs/>
      <w:kern w:val="28"/>
      <w:szCs w:val="32"/>
    </w:rPr>
  </w:style>
  <w:style w:type="paragraph" w:styleId="14">
    <w:name w:val="toc 2"/>
    <w:basedOn w:val="1"/>
    <w:next w:val="1"/>
    <w:qFormat/>
    <w:uiPriority w:val="39"/>
    <w:pPr>
      <w:kinsoku w:val="0"/>
      <w:autoSpaceDE w:val="0"/>
      <w:autoSpaceDN w:val="0"/>
      <w:ind w:left="200" w:leftChars="200"/>
      <w:textAlignment w:val="baseline"/>
    </w:pPr>
    <w:rPr>
      <w:rFonts w:hAnsi="Arial" w:cs="Arial"/>
      <w:snapToGrid w:val="0"/>
      <w:color w:val="000000"/>
      <w:szCs w:val="21"/>
    </w:rPr>
  </w:style>
  <w:style w:type="paragraph" w:styleId="15">
    <w:name w:val="Title"/>
    <w:basedOn w:val="1"/>
    <w:next w:val="1"/>
    <w:link w:val="23"/>
    <w:qFormat/>
    <w:uiPriority w:val="10"/>
    <w:pPr>
      <w:outlineLvl w:val="0"/>
    </w:pPr>
    <w:rPr>
      <w:rFonts w:ascii="华文仿宋" w:hAnsi="等线 Light" w:eastAsia="华文仿宋" w:cs="宋体"/>
      <w:b/>
      <w:bCs/>
      <w:sz w:val="28"/>
      <w:szCs w:val="32"/>
    </w:rPr>
  </w:style>
  <w:style w:type="paragraph" w:styleId="16">
    <w:name w:val="Body Text First Indent"/>
    <w:basedOn w:val="2"/>
    <w:link w:val="34"/>
    <w:qFormat/>
    <w:uiPriority w:val="99"/>
    <w:pPr>
      <w:ind w:firstLine="420" w:firstLineChars="100"/>
    </w:pPr>
  </w:style>
  <w:style w:type="paragraph" w:styleId="17">
    <w:name w:val="Body Text First Indent 2"/>
    <w:basedOn w:val="9"/>
    <w:link w:val="32"/>
    <w:qFormat/>
    <w:uiPriority w:val="99"/>
    <w:pPr>
      <w:ind w:firstLine="420" w:firstLineChars="200"/>
    </w:pPr>
  </w:style>
  <w:style w:type="table" w:styleId="19">
    <w:name w:val="Table Grid"/>
    <w:basedOn w:val="1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1 字符"/>
    <w:basedOn w:val="20"/>
    <w:link w:val="3"/>
    <w:qFormat/>
    <w:uiPriority w:val="9"/>
    <w:rPr>
      <w:rFonts w:ascii="微软雅黑" w:hAnsi="Times New Roman" w:eastAsia="微软雅黑" w:cs="Times New Roman"/>
      <w:b/>
      <w:bCs/>
      <w:kern w:val="44"/>
      <w:sz w:val="32"/>
      <w:szCs w:val="44"/>
    </w:rPr>
  </w:style>
  <w:style w:type="character" w:customStyle="1" w:styleId="22">
    <w:name w:val="标题 2 字符"/>
    <w:basedOn w:val="20"/>
    <w:link w:val="4"/>
    <w:qFormat/>
    <w:uiPriority w:val="9"/>
    <w:rPr>
      <w:rFonts w:ascii="微软雅黑" w:hAnsi="等线 Light" w:eastAsia="微软雅黑" w:cs="宋体"/>
      <w:b/>
      <w:bCs/>
      <w:sz w:val="30"/>
      <w:szCs w:val="32"/>
    </w:rPr>
  </w:style>
  <w:style w:type="character" w:customStyle="1" w:styleId="23">
    <w:name w:val="标题 字符"/>
    <w:basedOn w:val="20"/>
    <w:link w:val="15"/>
    <w:qFormat/>
    <w:uiPriority w:val="10"/>
    <w:rPr>
      <w:rFonts w:ascii="华文仿宋" w:hAnsi="等线 Light" w:eastAsia="华文仿宋" w:cs="宋体"/>
      <w:b/>
      <w:bCs/>
      <w:sz w:val="28"/>
      <w:szCs w:val="32"/>
    </w:rPr>
  </w:style>
  <w:style w:type="character" w:customStyle="1" w:styleId="24">
    <w:name w:val="副标题 字符"/>
    <w:basedOn w:val="20"/>
    <w:link w:val="13"/>
    <w:qFormat/>
    <w:uiPriority w:val="11"/>
    <w:rPr>
      <w:rFonts w:ascii="微软雅黑" w:eastAsia="微软雅黑"/>
      <w:b/>
      <w:bCs/>
      <w:kern w:val="28"/>
      <w:sz w:val="24"/>
      <w:szCs w:val="32"/>
    </w:rPr>
  </w:style>
  <w:style w:type="paragraph" w:customStyle="1" w:styleId="25">
    <w:name w:val="标题5"/>
    <w:basedOn w:val="1"/>
    <w:next w:val="1"/>
    <w:link w:val="26"/>
    <w:qFormat/>
    <w:uiPriority w:val="0"/>
  </w:style>
  <w:style w:type="character" w:customStyle="1" w:styleId="26">
    <w:name w:val="标题5 字符"/>
    <w:basedOn w:val="20"/>
    <w:link w:val="25"/>
    <w:qFormat/>
    <w:uiPriority w:val="0"/>
    <w:rPr>
      <w:rFonts w:ascii="微软雅黑" w:eastAsia="微软雅黑"/>
      <w:sz w:val="24"/>
    </w:rPr>
  </w:style>
  <w:style w:type="character" w:customStyle="1" w:styleId="27">
    <w:name w:val="标题 3 字符"/>
    <w:basedOn w:val="20"/>
    <w:link w:val="5"/>
    <w:qFormat/>
    <w:uiPriority w:val="0"/>
    <w:rPr>
      <w:rFonts w:ascii="微软雅黑" w:hAnsi="Times New Roman" w:eastAsia="微软雅黑" w:cs="Times New Roman"/>
      <w:b/>
      <w:bCs/>
      <w:sz w:val="28"/>
      <w:szCs w:val="32"/>
    </w:rPr>
  </w:style>
  <w:style w:type="character" w:customStyle="1" w:styleId="28">
    <w:name w:val="标题 4 字符"/>
    <w:basedOn w:val="20"/>
    <w:link w:val="6"/>
    <w:qFormat/>
    <w:uiPriority w:val="0"/>
    <w:rPr>
      <w:rFonts w:ascii="微软雅黑" w:hAnsi="微软雅黑" w:eastAsia="微软雅黑" w:cs="Times New Roman"/>
      <w:b/>
      <w:bCs/>
      <w:sz w:val="24"/>
      <w:szCs w:val="28"/>
    </w:rPr>
  </w:style>
  <w:style w:type="character" w:customStyle="1" w:styleId="29">
    <w:name w:val="标题 5 字符"/>
    <w:basedOn w:val="20"/>
    <w:link w:val="7"/>
    <w:qFormat/>
    <w:uiPriority w:val="9"/>
    <w:rPr>
      <w:rFonts w:ascii="微软雅黑" w:eastAsia="微软雅黑"/>
      <w:b/>
      <w:bCs/>
      <w:sz w:val="24"/>
      <w:szCs w:val="28"/>
    </w:rPr>
  </w:style>
  <w:style w:type="character" w:customStyle="1" w:styleId="30">
    <w:name w:val="标题 6 字符"/>
    <w:basedOn w:val="20"/>
    <w:link w:val="8"/>
    <w:qFormat/>
    <w:uiPriority w:val="9"/>
    <w:rPr>
      <w:rFonts w:ascii="微软雅黑" w:hAnsi="Cambria" w:eastAsia="微软雅黑" w:cs="Times New Roman"/>
      <w:b/>
      <w:bCs/>
      <w:sz w:val="24"/>
      <w:szCs w:val="20"/>
    </w:rPr>
  </w:style>
  <w:style w:type="character" w:customStyle="1" w:styleId="31">
    <w:name w:val="正文文本缩进 字符"/>
    <w:basedOn w:val="20"/>
    <w:link w:val="9"/>
    <w:qFormat/>
    <w:uiPriority w:val="99"/>
    <w:rPr>
      <w:rFonts w:ascii="微软雅黑" w:hAnsi="Times New Roman" w:eastAsia="微软雅黑" w:cs="Times New Roman"/>
      <w:sz w:val="32"/>
      <w:szCs w:val="20"/>
    </w:rPr>
  </w:style>
  <w:style w:type="character" w:customStyle="1" w:styleId="32">
    <w:name w:val="正文首行缩进 2 字符"/>
    <w:basedOn w:val="31"/>
    <w:link w:val="17"/>
    <w:qFormat/>
    <w:uiPriority w:val="99"/>
    <w:rPr>
      <w:rFonts w:ascii="微软雅黑" w:hAnsi="Times New Roman" w:eastAsia="微软雅黑" w:cs="Times New Roman"/>
      <w:sz w:val="32"/>
      <w:szCs w:val="20"/>
    </w:rPr>
  </w:style>
  <w:style w:type="character" w:customStyle="1" w:styleId="33">
    <w:name w:val="正文文本 字符"/>
    <w:basedOn w:val="20"/>
    <w:link w:val="2"/>
    <w:qFormat/>
    <w:uiPriority w:val="99"/>
    <w:rPr>
      <w:rFonts w:ascii="微软雅黑" w:eastAsia="微软雅黑"/>
      <w:sz w:val="24"/>
    </w:rPr>
  </w:style>
  <w:style w:type="character" w:customStyle="1" w:styleId="34">
    <w:name w:val="正文首行缩进 字符"/>
    <w:basedOn w:val="33"/>
    <w:link w:val="16"/>
    <w:qFormat/>
    <w:uiPriority w:val="99"/>
    <w:rPr>
      <w:rFonts w:ascii="微软雅黑" w:eastAsia="微软雅黑"/>
      <w:sz w:val="24"/>
    </w:rPr>
  </w:style>
  <w:style w:type="paragraph" w:styleId="35">
    <w:name w:val="List Paragraph"/>
    <w:basedOn w:val="1"/>
    <w:qFormat/>
    <w:uiPriority w:val="34"/>
    <w:pPr>
      <w:ind w:firstLine="420" w:firstLineChars="200"/>
    </w:pPr>
  </w:style>
  <w:style w:type="table" w:customStyle="1" w:styleId="3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2768</Words>
  <Characters>2951</Characters>
  <Paragraphs>184</Paragraphs>
  <TotalTime>1</TotalTime>
  <ScaleCrop>false</ScaleCrop>
  <LinksUpToDate>false</LinksUpToDate>
  <CharactersWithSpaces>2964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2023-03-08T05:42:00Z</dcterms:created>
  <dc:creator>Windows User</dc:creator>
  <cp:lastModifiedBy>言～</cp:lastModifiedBy>
  <dcterms:modified xsi:type="dcterms:W3CDTF">2024-04-10T02:07:47Z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76EF697F9B89479991AAE23DE59BE5CE</vt:lpwstr>
  </property>
</Properties>
</file>