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21"/>
          <w:lang w:val="en-US" w:eastAsia="zh-CN"/>
        </w:rPr>
      </w:pPr>
      <w:r>
        <w:rPr>
          <w:rFonts w:hint="eastAsia"/>
          <w:b/>
          <w:bCs/>
          <w:sz w:val="32"/>
          <w:szCs w:val="21"/>
          <w:lang w:val="en-US" w:eastAsia="zh-CN"/>
        </w:rPr>
        <w:t>电切内窥镜技术参数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tabs>
          <w:tab w:val="left" w:pos="3420"/>
        </w:tabs>
        <w:snapToGrid/>
        <w:spacing w:before="0" w:beforeAutospacing="0" w:after="0" w:afterAutospacing="0" w:line="360" w:lineRule="exact"/>
        <w:ind w:left="360" w:hanging="36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内窥镜： 12°、25°、30°蓝宝石镜面可选</w:t>
      </w:r>
    </w:p>
    <w:p>
      <w:pPr>
        <w:numPr>
          <w:ilvl w:val="0"/>
          <w:numId w:val="1"/>
        </w:numPr>
        <w:tabs>
          <w:tab w:val="left" w:pos="3420"/>
        </w:tabs>
        <w:snapToGrid/>
        <w:spacing w:before="0" w:beforeAutospacing="0" w:after="0" w:afterAutospacing="0" w:line="360" w:lineRule="exact"/>
        <w:ind w:left="360" w:hanging="36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外鞘：26Fr 设置进、出水通道和控制开关，可360°旋转。</w:t>
      </w:r>
    </w:p>
    <w:p>
      <w:pPr>
        <w:numPr>
          <w:ilvl w:val="0"/>
          <w:numId w:val="1"/>
        </w:numPr>
        <w:tabs>
          <w:tab w:val="left" w:pos="3420"/>
        </w:tabs>
        <w:snapToGrid/>
        <w:spacing w:before="0" w:beforeAutospacing="0" w:after="0" w:afterAutospacing="0" w:line="360" w:lineRule="exact"/>
        <w:ind w:left="360" w:hanging="36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内鞘：24Fr，可360°旋转。</w:t>
      </w:r>
    </w:p>
    <w:p>
      <w:pPr>
        <w:numPr>
          <w:ilvl w:val="0"/>
          <w:numId w:val="1"/>
        </w:numPr>
        <w:tabs>
          <w:tab w:val="left" w:pos="3420"/>
        </w:tabs>
        <w:snapToGrid/>
        <w:spacing w:before="0" w:beforeAutospacing="0" w:after="0" w:afterAutospacing="0" w:line="360" w:lineRule="exact"/>
        <w:ind w:left="360" w:hanging="36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内鞘进水接头：可用于单鞘手术</w:t>
      </w:r>
    </w:p>
    <w:p>
      <w:pPr>
        <w:numPr>
          <w:ilvl w:val="0"/>
          <w:numId w:val="1"/>
        </w:numPr>
        <w:tabs>
          <w:tab w:val="left" w:pos="3420"/>
        </w:tabs>
        <w:snapToGrid/>
        <w:spacing w:before="0" w:beforeAutospacing="0" w:after="0" w:afterAutospacing="0" w:line="360" w:lineRule="exact"/>
        <w:ind w:left="360" w:hanging="36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工作手件：新型人体工程学被动式/主动式工作手件，前操控手柄可同时四手指抓握，从中指至小指由上至下逐渐向后倾斜，与后母子始终形成圆弧型的自然抓握状态，可提高操控性，减少操作疲劳</w:t>
      </w:r>
    </w:p>
    <w:p>
      <w:pPr>
        <w:numPr>
          <w:ilvl w:val="0"/>
          <w:numId w:val="1"/>
        </w:numPr>
        <w:tabs>
          <w:tab w:val="left" w:pos="3420"/>
        </w:tabs>
        <w:snapToGrid/>
        <w:spacing w:before="0" w:beforeAutospacing="0" w:after="0" w:afterAutospacing="0" w:line="360" w:lineRule="exact"/>
        <w:ind w:left="360" w:hanging="36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★激光光纤鞘：（可提供实物）与工作手件及操作系统匹配，具有直径1000μm及以下各种规格型号：钬激光、绿激光、红激光、1470nm激光、2μm激光光纤通道，可同时兼容电切及激光手术</w:t>
      </w:r>
    </w:p>
    <w:p>
      <w:pPr>
        <w:numPr>
          <w:ilvl w:val="0"/>
          <w:numId w:val="1"/>
        </w:numPr>
        <w:tabs>
          <w:tab w:val="left" w:pos="3420"/>
        </w:tabs>
        <w:snapToGrid/>
        <w:spacing w:before="0" w:beforeAutospacing="0" w:after="0" w:afterAutospacing="0" w:line="360" w:lineRule="exact"/>
        <w:ind w:left="360" w:hanging="36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器械连接方式：撞击式</w:t>
      </w:r>
    </w:p>
    <w:p>
      <w:pPr>
        <w:numPr>
          <w:ilvl w:val="0"/>
          <w:numId w:val="1"/>
        </w:numPr>
        <w:tabs>
          <w:tab w:val="left" w:pos="3420"/>
        </w:tabs>
        <w:snapToGrid/>
        <w:spacing w:before="0" w:beforeAutospacing="0" w:after="0" w:afterAutospacing="0" w:line="360" w:lineRule="exact"/>
        <w:ind w:left="360" w:hanging="36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冲洗瓶接口</w:t>
      </w:r>
    </w:p>
    <w:p>
      <w:pPr>
        <w:numPr>
          <w:ilvl w:val="0"/>
          <w:numId w:val="1"/>
        </w:numPr>
        <w:tabs>
          <w:tab w:val="left" w:pos="3420"/>
        </w:tabs>
        <w:snapToGrid/>
        <w:spacing w:before="0" w:beforeAutospacing="0" w:after="0" w:afterAutospacing="0" w:line="360" w:lineRule="exact"/>
        <w:ind w:left="360" w:hanging="36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冲洗瓶1个：医用硅胶</w:t>
      </w:r>
    </w:p>
    <w:p>
      <w:pPr>
        <w:numPr>
          <w:ilvl w:val="0"/>
          <w:numId w:val="1"/>
        </w:numPr>
        <w:tabs>
          <w:tab w:val="left" w:pos="3420"/>
        </w:tabs>
        <w:snapToGrid/>
        <w:spacing w:before="0" w:beforeAutospacing="0" w:after="0" w:afterAutospacing="0" w:line="360" w:lineRule="exact"/>
        <w:ind w:left="360" w:hanging="36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★</w:t>
      </w:r>
      <w:r>
        <w:rPr>
          <w:rStyle w:val="10"/>
          <w:rFonts w:hint="eastAsia"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等离子输出频率：≥375KHz，负载:电切150Ω±10Ω，电凝100Ω±10Ω。</w:t>
      </w:r>
    </w:p>
    <w:p>
      <w:pPr>
        <w:numPr>
          <w:ilvl w:val="0"/>
          <w:numId w:val="1"/>
        </w:numPr>
        <w:tabs>
          <w:tab w:val="left" w:pos="3420"/>
        </w:tabs>
        <w:snapToGrid/>
        <w:spacing w:before="0" w:beforeAutospacing="0" w:after="0" w:afterAutospacing="0" w:line="360" w:lineRule="exact"/>
        <w:ind w:left="360" w:hanging="36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★</w:t>
      </w:r>
      <w:r>
        <w:rPr>
          <w:rStyle w:val="10"/>
          <w:rFonts w:hint="eastAsia"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双极，正负极回路在电极两端通过一体式连接线到发生器主机，工作手件无正负极回路，无负极板。双极电极为单环状带正负极一体式，有环状、铲状、杆状、钩状、针状设计，杆状电极可加长至570mm（可提供实物），有双极凝切电极和双极电凝电极。耗材与主机发生器为同一生产厂家生产。</w:t>
      </w:r>
    </w:p>
    <w:p>
      <w:pPr>
        <w:numPr>
          <w:ilvl w:val="0"/>
          <w:numId w:val="0"/>
        </w:numPr>
        <w:tabs>
          <w:tab w:val="left" w:pos="3420"/>
        </w:tabs>
        <w:snapToGrid/>
        <w:spacing w:before="0" w:beforeAutospacing="0" w:after="0" w:afterAutospacing="0" w:line="360" w:lineRule="exact"/>
        <w:ind w:leftChars="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rPr>
          <w:rStyle w:val="10"/>
          <w:rFonts w:ascii="华文楷体" w:hAnsi="华文楷体" w:eastAsia="华文楷体"/>
          <w:b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  <w:r>
        <w:rPr>
          <w:rStyle w:val="10"/>
          <w:rFonts w:ascii="华文楷体" w:hAnsi="华文楷体" w:eastAsia="华文楷体"/>
          <w:b/>
          <w:i w:val="0"/>
          <w:caps w:val="0"/>
          <w:spacing w:val="0"/>
          <w:w w:val="100"/>
          <w:kern w:val="2"/>
          <w:sz w:val="32"/>
          <w:lang w:val="en-US" w:eastAsia="zh-CN" w:bidi="ar-SA"/>
        </w:rPr>
        <w:br w:type="page"/>
      </w:r>
    </w:p>
    <w:p>
      <w:pPr>
        <w:snapToGrid/>
        <w:spacing w:before="0" w:beforeAutospacing="0" w:after="0" w:afterAutospacing="0" w:line="360" w:lineRule="auto"/>
        <w:ind w:right="-62"/>
        <w:jc w:val="center"/>
        <w:textAlignment w:val="baseline"/>
        <w:rPr>
          <w:rStyle w:val="10"/>
          <w:rFonts w:ascii="华文楷体" w:hAnsi="华文楷体" w:eastAsia="华文楷体"/>
          <w:b/>
          <w:i w:val="0"/>
          <w:caps w:val="0"/>
          <w:spacing w:val="0"/>
          <w:w w:val="100"/>
          <w:kern w:val="2"/>
          <w:sz w:val="36"/>
          <w:szCs w:val="21"/>
          <w:lang w:val="en-US" w:eastAsia="zh-CN" w:bidi="ar-SA"/>
        </w:rPr>
      </w:pPr>
      <w:r>
        <w:rPr>
          <w:rStyle w:val="10"/>
          <w:rFonts w:hint="eastAsia" w:ascii="华文楷体" w:hAnsi="华文楷体" w:eastAsia="华文楷体"/>
          <w:b/>
          <w:i w:val="0"/>
          <w:caps w:val="0"/>
          <w:spacing w:val="0"/>
          <w:w w:val="100"/>
          <w:kern w:val="2"/>
          <w:sz w:val="36"/>
          <w:szCs w:val="21"/>
          <w:lang w:val="en-US" w:eastAsia="zh-CN" w:bidi="ar-SA"/>
        </w:rPr>
        <w:t>▲</w:t>
      </w:r>
      <w:r>
        <w:rPr>
          <w:rStyle w:val="10"/>
          <w:rFonts w:ascii="华文楷体" w:hAnsi="华文楷体" w:eastAsia="华文楷体"/>
          <w:b/>
          <w:i w:val="0"/>
          <w:caps w:val="0"/>
          <w:spacing w:val="0"/>
          <w:w w:val="100"/>
          <w:kern w:val="2"/>
          <w:sz w:val="36"/>
          <w:szCs w:val="21"/>
          <w:lang w:val="en-US" w:eastAsia="zh-CN" w:bidi="ar-SA"/>
        </w:rPr>
        <w:t>配置清单</w:t>
      </w:r>
    </w:p>
    <w:tbl>
      <w:tblPr>
        <w:tblStyle w:val="5"/>
        <w:tblpPr w:leftFromText="180" w:rightFromText="180" w:vertAnchor="text" w:horzAnchor="margin" w:tblpXSpec="center" w:tblpY="803"/>
        <w:tblW w:w="650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3535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5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0"/>
                <w:rFonts w:ascii="华文楷体" w:hAnsi="华文楷体" w:eastAsia="华文楷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电切镜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华文楷体" w:hAnsi="华文楷体" w:eastAsia="华文楷体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ind w:left="72"/>
              <w:jc w:val="center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80" w:lineRule="exact"/>
              <w:ind w:left="72"/>
              <w:jc w:val="center"/>
              <w:textAlignment w:val="baseline"/>
              <w:rPr>
                <w:rStyle w:val="10"/>
                <w:rFonts w:hint="eastAsia"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等离子双极电切电凝系统</w:t>
            </w:r>
          </w:p>
          <w:p>
            <w:pPr>
              <w:snapToGrid/>
              <w:spacing w:before="0" w:beforeAutospacing="0" w:after="0" w:afterAutospacing="0" w:line="380" w:lineRule="exact"/>
              <w:ind w:left="72"/>
              <w:jc w:val="center"/>
              <w:textAlignment w:val="baseline"/>
              <w:rPr>
                <w:rStyle w:val="10"/>
                <w:rFonts w:hint="eastAsia" w:ascii="华文楷体" w:hAnsi="华文楷体" w:eastAsia="华文楷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华文楷体" w:hAnsi="华文楷体" w:eastAsia="华文楷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脚踏</w:t>
            </w:r>
          </w:p>
          <w:p>
            <w:pPr>
              <w:snapToGrid/>
              <w:spacing w:before="0" w:beforeAutospacing="0" w:after="0" w:afterAutospacing="0" w:line="380" w:lineRule="exact"/>
              <w:ind w:left="72"/>
              <w:jc w:val="center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被动式工作手把</w:t>
            </w:r>
          </w:p>
          <w:p>
            <w:pPr>
              <w:snapToGrid/>
              <w:spacing w:before="0" w:beforeAutospacing="0" w:after="0" w:afterAutospacing="0" w:line="380" w:lineRule="exact"/>
              <w:ind w:left="57"/>
              <w:jc w:val="center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内窥镜</w:t>
            </w:r>
          </w:p>
          <w:p>
            <w:pPr>
              <w:snapToGrid/>
              <w:spacing w:before="0" w:beforeAutospacing="0" w:after="0" w:afterAutospacing="0" w:line="380" w:lineRule="exact"/>
              <w:ind w:left="57"/>
              <w:jc w:val="center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24Fr内鞘</w:t>
            </w:r>
          </w:p>
          <w:p>
            <w:pPr>
              <w:snapToGrid/>
              <w:spacing w:before="0" w:beforeAutospacing="0" w:after="0" w:afterAutospacing="0" w:line="380" w:lineRule="exact"/>
              <w:ind w:left="57"/>
              <w:jc w:val="center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26Fr可旋转外鞘</w:t>
            </w:r>
          </w:p>
          <w:p>
            <w:pPr>
              <w:snapToGrid/>
              <w:spacing w:before="0" w:beforeAutospacing="0" w:after="0" w:afterAutospacing="0" w:line="380" w:lineRule="exact"/>
              <w:ind w:left="72"/>
              <w:jc w:val="center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标准鞘芯</w:t>
            </w:r>
          </w:p>
          <w:p>
            <w:pPr>
              <w:snapToGrid/>
              <w:spacing w:before="0" w:beforeAutospacing="0" w:after="0" w:afterAutospacing="0" w:line="380" w:lineRule="exact"/>
              <w:ind w:left="72"/>
              <w:jc w:val="center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冲洗瓶接口</w:t>
            </w:r>
          </w:p>
          <w:p>
            <w:pPr>
              <w:snapToGrid/>
              <w:spacing w:before="0" w:beforeAutospacing="0" w:after="0" w:afterAutospacing="0" w:line="380" w:lineRule="exact"/>
              <w:ind w:left="72"/>
              <w:jc w:val="center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冲洗瓶</w:t>
            </w:r>
          </w:p>
          <w:p>
            <w:pPr>
              <w:snapToGrid/>
              <w:spacing w:before="0" w:beforeAutospacing="0" w:after="0" w:afterAutospacing="0" w:line="380" w:lineRule="exact"/>
              <w:ind w:left="72"/>
              <w:jc w:val="center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激光光纤鞘</w:t>
            </w:r>
          </w:p>
          <w:p>
            <w:pPr>
              <w:snapToGrid/>
              <w:spacing w:before="0" w:beforeAutospacing="0" w:after="0" w:afterAutospacing="0" w:line="380" w:lineRule="exact"/>
              <w:ind w:left="72" w:leftChars="0"/>
              <w:jc w:val="center"/>
              <w:textAlignment w:val="baseline"/>
              <w:rPr>
                <w:rFonts w:ascii="华文楷体" w:hAnsi="华文楷体" w:eastAsia="华文楷体" w:cstheme="minorBidi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80" w:lineRule="exact"/>
              <w:ind w:left="312"/>
              <w:jc w:val="both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80" w:lineRule="exact"/>
              <w:ind w:left="312"/>
              <w:jc w:val="both"/>
              <w:textAlignment w:val="baseline"/>
              <w:rPr>
                <w:rStyle w:val="10"/>
                <w:rFonts w:hint="default"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1台</w:t>
            </w:r>
          </w:p>
          <w:p>
            <w:pPr>
              <w:snapToGrid/>
              <w:spacing w:before="0" w:beforeAutospacing="0" w:after="0" w:afterAutospacing="0" w:line="380" w:lineRule="exact"/>
              <w:ind w:left="312"/>
              <w:jc w:val="both"/>
              <w:textAlignment w:val="baseline"/>
              <w:rPr>
                <w:rStyle w:val="10"/>
                <w:rFonts w:hint="default"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1台</w:t>
            </w:r>
          </w:p>
          <w:p>
            <w:pPr>
              <w:snapToGrid/>
              <w:spacing w:before="0" w:beforeAutospacing="0" w:after="0" w:afterAutospacing="0" w:line="380" w:lineRule="exact"/>
              <w:ind w:left="312"/>
              <w:jc w:val="both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1个</w:t>
            </w:r>
          </w:p>
          <w:p>
            <w:pPr>
              <w:snapToGrid/>
              <w:spacing w:before="0" w:beforeAutospacing="0" w:after="0" w:afterAutospacing="0" w:line="380" w:lineRule="exact"/>
              <w:ind w:left="312"/>
              <w:jc w:val="both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1支</w:t>
            </w:r>
          </w:p>
          <w:p>
            <w:pPr>
              <w:snapToGrid/>
              <w:spacing w:before="0" w:beforeAutospacing="0" w:after="0" w:afterAutospacing="0" w:line="380" w:lineRule="exact"/>
              <w:ind w:left="342"/>
              <w:jc w:val="both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1支</w:t>
            </w:r>
          </w:p>
          <w:p>
            <w:pPr>
              <w:snapToGrid/>
              <w:spacing w:before="0" w:beforeAutospacing="0" w:after="0" w:afterAutospacing="0" w:line="380" w:lineRule="exact"/>
              <w:ind w:left="342"/>
              <w:jc w:val="both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1支</w:t>
            </w:r>
          </w:p>
          <w:p>
            <w:pPr>
              <w:snapToGrid/>
              <w:spacing w:before="0" w:beforeAutospacing="0" w:after="0" w:afterAutospacing="0" w:line="380" w:lineRule="exact"/>
              <w:ind w:left="312"/>
              <w:jc w:val="both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1支</w:t>
            </w:r>
          </w:p>
          <w:p>
            <w:pPr>
              <w:snapToGrid/>
              <w:spacing w:before="0" w:beforeAutospacing="0" w:after="0" w:afterAutospacing="0" w:line="380" w:lineRule="exact"/>
              <w:ind w:left="312"/>
              <w:jc w:val="both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1个</w:t>
            </w:r>
          </w:p>
          <w:p>
            <w:pPr>
              <w:snapToGrid/>
              <w:spacing w:before="0" w:beforeAutospacing="0" w:after="0" w:afterAutospacing="0" w:line="380" w:lineRule="exact"/>
              <w:ind w:left="312"/>
              <w:jc w:val="both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1个</w:t>
            </w:r>
          </w:p>
          <w:p>
            <w:pPr>
              <w:snapToGrid/>
              <w:spacing w:before="0" w:beforeAutospacing="0" w:after="0" w:afterAutospacing="0" w:line="380" w:lineRule="exact"/>
              <w:ind w:left="312"/>
              <w:jc w:val="both"/>
              <w:textAlignment w:val="baseline"/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10"/>
                <w:rFonts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1</w:t>
            </w:r>
            <w:r>
              <w:rPr>
                <w:rStyle w:val="10"/>
                <w:rFonts w:hint="eastAsia" w:ascii="华文楷体" w:hAnsi="华文楷体" w:eastAsia="华文楷体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支</w:t>
            </w:r>
          </w:p>
          <w:p>
            <w:pPr>
              <w:snapToGrid/>
              <w:spacing w:before="0" w:beforeAutospacing="0" w:after="0" w:afterAutospacing="0" w:line="380" w:lineRule="exact"/>
              <w:ind w:left="312" w:leftChars="0"/>
              <w:jc w:val="both"/>
              <w:textAlignment w:val="baseline"/>
              <w:rPr>
                <w:rFonts w:ascii="华文楷体" w:hAnsi="华文楷体" w:eastAsia="华文楷体" w:cstheme="minorBidi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备注：带“</w:t>
      </w:r>
      <w:r>
        <w:rPr>
          <w:rStyle w:val="10"/>
          <w:rFonts w:hint="eastAsia" w:ascii="华文楷体" w:hAnsi="华文楷体" w:eastAsia="华文楷体"/>
          <w:b/>
          <w:i w:val="0"/>
          <w:caps w:val="0"/>
          <w:spacing w:val="0"/>
          <w:w w:val="100"/>
          <w:kern w:val="2"/>
          <w:sz w:val="36"/>
          <w:szCs w:val="21"/>
          <w:lang w:val="en-US" w:eastAsia="zh-CN" w:bidi="ar-SA"/>
        </w:rPr>
        <w:t>▲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”符号为实质性要求，若不满足则视为无效投标。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page" w:horzAnchor="page" w:tblpX="992" w:tblpY="3821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</w:t>
            </w:r>
            <w:r>
              <w:rPr>
                <w:rFonts w:hint="eastAsia" w:ascii="宋体" w:hAnsi="宋体" w:cs="宋体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34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带“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cs="Times New Roman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其他参数有一项不满足的扣2分，扣完为止。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</w:rPr>
              <w:t>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</w:t>
            </w:r>
            <w:r>
              <w:rPr>
                <w:rFonts w:hint="eastAsia" w:cs="Times New Roman"/>
                <w:lang w:val="en-US" w:eastAsia="zh-CN"/>
              </w:rPr>
              <w:t>提供售后服务方案、培训方案、维修方案、应急方案的得8分，方案详细的每项加2分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业务能力4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投标供货商有类似业绩的，每提供一项得2分（可提供合同复印件、发票复印件、中标通知书复印件其中一项），最多得4分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评分标准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widowControl/>
        <w:tabs>
          <w:tab w:val="left" w:pos="360"/>
        </w:tabs>
        <w:ind w:left="360" w:hanging="360"/>
        <w:textAlignment w:val="baseline"/>
      </w:pPr>
      <w:rPr>
        <w:rStyle w:val="10"/>
        <w:rFonts w:ascii="Times New Roman" w:hAnsi="Times New Roman"/>
      </w:rPr>
    </w:lvl>
    <w:lvl w:ilvl="1" w:tentative="0">
      <w:start w:val="1"/>
      <w:numFmt w:val="lowerLetter"/>
      <w:lvlText w:val="%1)"/>
      <w:lvlJc w:val="left"/>
      <w:pPr>
        <w:widowControl/>
        <w:tabs>
          <w:tab w:val="left" w:pos="840"/>
        </w:tabs>
        <w:ind w:left="840" w:hanging="420"/>
        <w:textAlignment w:val="baseline"/>
      </w:pPr>
      <w:rPr>
        <w:rStyle w:val="10"/>
      </w:rPr>
    </w:lvl>
    <w:lvl w:ilvl="2" w:tentative="0">
      <w:start w:val="1"/>
      <w:numFmt w:val="lowerRoman"/>
      <w:lvlText w:val="%1."/>
      <w:lvlJc w:val="right"/>
      <w:pPr>
        <w:widowControl/>
        <w:tabs>
          <w:tab w:val="left" w:pos="1260"/>
        </w:tabs>
        <w:ind w:left="1260" w:hanging="420"/>
        <w:textAlignment w:val="baseline"/>
      </w:pPr>
      <w:rPr>
        <w:rStyle w:val="10"/>
      </w:rPr>
    </w:lvl>
    <w:lvl w:ilvl="3" w:tentative="0">
      <w:start w:val="1"/>
      <w:numFmt w:val="decimal"/>
      <w:lvlText w:val="%1."/>
      <w:lvlJc w:val="left"/>
      <w:pPr>
        <w:widowControl/>
        <w:tabs>
          <w:tab w:val="left" w:pos="1680"/>
        </w:tabs>
        <w:ind w:left="1680" w:hanging="420"/>
        <w:textAlignment w:val="baseline"/>
      </w:pPr>
      <w:rPr>
        <w:rStyle w:val="10"/>
      </w:rPr>
    </w:lvl>
    <w:lvl w:ilvl="4" w:tentative="0">
      <w:start w:val="1"/>
      <w:numFmt w:val="lowerLetter"/>
      <w:lvlText w:val="%1)"/>
      <w:lvlJc w:val="left"/>
      <w:pPr>
        <w:widowControl/>
        <w:tabs>
          <w:tab w:val="left" w:pos="2100"/>
        </w:tabs>
        <w:ind w:left="2100" w:hanging="420"/>
        <w:textAlignment w:val="baseline"/>
      </w:pPr>
      <w:rPr>
        <w:rStyle w:val="10"/>
      </w:rPr>
    </w:lvl>
    <w:lvl w:ilvl="5" w:tentative="0">
      <w:start w:val="1"/>
      <w:numFmt w:val="lowerRoman"/>
      <w:lvlText w:val="%1."/>
      <w:lvlJc w:val="right"/>
      <w:pPr>
        <w:widowControl/>
        <w:tabs>
          <w:tab w:val="left" w:pos="2520"/>
        </w:tabs>
        <w:ind w:left="2520" w:hanging="420"/>
        <w:textAlignment w:val="baseline"/>
      </w:pPr>
      <w:rPr>
        <w:rStyle w:val="10"/>
      </w:rPr>
    </w:lvl>
    <w:lvl w:ilvl="6" w:tentative="0">
      <w:start w:val="1"/>
      <w:numFmt w:val="decimal"/>
      <w:lvlText w:val="%1."/>
      <w:lvlJc w:val="left"/>
      <w:pPr>
        <w:widowControl/>
        <w:tabs>
          <w:tab w:val="left" w:pos="2940"/>
        </w:tabs>
        <w:ind w:left="2940" w:hanging="420"/>
        <w:textAlignment w:val="baseline"/>
      </w:pPr>
      <w:rPr>
        <w:rStyle w:val="10"/>
      </w:rPr>
    </w:lvl>
    <w:lvl w:ilvl="7" w:tentative="0">
      <w:start w:val="1"/>
      <w:numFmt w:val="lowerLetter"/>
      <w:lvlText w:val="%1)"/>
      <w:lvlJc w:val="left"/>
      <w:pPr>
        <w:widowControl/>
        <w:tabs>
          <w:tab w:val="left" w:pos="3360"/>
        </w:tabs>
        <w:ind w:left="3360" w:hanging="420"/>
        <w:textAlignment w:val="baseline"/>
      </w:pPr>
      <w:rPr>
        <w:rStyle w:val="10"/>
      </w:rPr>
    </w:lvl>
    <w:lvl w:ilvl="8" w:tentative="0">
      <w:start w:val="1"/>
      <w:numFmt w:val="lowerRoman"/>
      <w:lvlText w:val="%1."/>
      <w:lvlJc w:val="right"/>
      <w:pPr>
        <w:widowControl/>
        <w:tabs>
          <w:tab w:val="left" w:pos="3780"/>
        </w:tabs>
        <w:ind w:left="3780" w:hanging="420"/>
        <w:textAlignment w:val="baseline"/>
      </w:pPr>
      <w:rPr>
        <w:rStyle w:val="1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WJlYzM2MzRmYmM1NmIwNDdjNzJjNmU0NzA2MWYifQ=="/>
  </w:docVars>
  <w:rsids>
    <w:rsidRoot w:val="6F4A7862"/>
    <w:rsid w:val="17E86244"/>
    <w:rsid w:val="35A73E3F"/>
    <w:rsid w:val="4A2D4FE6"/>
    <w:rsid w:val="6F4A7862"/>
    <w:rsid w:val="70556B4B"/>
    <w:rsid w:val="77506ED1"/>
    <w:rsid w:val="7B9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9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2023-04-06T02:02:00Z</dcterms:created>
  <dc:creator>Administrator</dc:creator>
  <cp:lastModifiedBy>言～</cp:lastModifiedBy>
  <dcterms:modified xsi:type="dcterms:W3CDTF">2024-02-21T02:58:30Z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717C761A81914CCF93B946192198456F</vt:lpwstr>
  </property>
</Properties>
</file>