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40"/>
          <w:szCs w:val="40"/>
        </w:rPr>
      </w:pPr>
    </w:p>
    <w:p>
      <w:pPr>
        <w:pStyle w:val="2"/>
        <w:spacing w:after="0"/>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内江市第二人民医院新门诊大楼污水处理站局部</w:t>
      </w:r>
    </w:p>
    <w:p>
      <w:pPr>
        <w:pStyle w:val="2"/>
        <w:spacing w:after="0"/>
        <w:jc w:val="center"/>
        <w:rPr>
          <w:rFonts w:hint="eastAsia" w:ascii="仿宋" w:hAnsi="仿宋" w:eastAsia="仿宋" w:cs="仿宋"/>
          <w:b/>
          <w:bCs/>
          <w:sz w:val="44"/>
          <w:szCs w:val="52"/>
        </w:rPr>
      </w:pPr>
      <w:r>
        <w:rPr>
          <w:rFonts w:hint="eastAsia" w:ascii="仿宋" w:hAnsi="仿宋" w:eastAsia="仿宋" w:cs="仿宋"/>
          <w:b/>
          <w:bCs/>
          <w:sz w:val="44"/>
          <w:szCs w:val="52"/>
          <w:lang w:val="en-US" w:eastAsia="zh-CN"/>
        </w:rPr>
        <w:t>改造服务采购项目</w:t>
      </w:r>
    </w:p>
    <w:p>
      <w:pPr>
        <w:pStyle w:val="2"/>
        <w:spacing w:after="0"/>
        <w:jc w:val="center"/>
        <w:rPr>
          <w:rFonts w:hint="eastAsia" w:ascii="仿宋" w:hAnsi="仿宋" w:eastAsia="仿宋" w:cs="仿宋"/>
        </w:rPr>
      </w:pP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竞</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争</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性</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磋</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商</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文</w:t>
      </w:r>
    </w:p>
    <w:p>
      <w:pPr>
        <w:snapToGrid w:val="0"/>
        <w:spacing w:line="360" w:lineRule="auto"/>
        <w:jc w:val="center"/>
        <w:rPr>
          <w:rFonts w:hint="eastAsia" w:ascii="仿宋" w:hAnsi="仿宋" w:eastAsia="仿宋" w:cs="仿宋"/>
          <w:sz w:val="18"/>
          <w:szCs w:val="21"/>
        </w:rPr>
      </w:pPr>
      <w:r>
        <w:rPr>
          <w:rFonts w:hint="eastAsia" w:ascii="仿宋" w:hAnsi="仿宋" w:eastAsia="仿宋" w:cs="仿宋"/>
          <w:b/>
          <w:bCs/>
          <w:spacing w:val="6"/>
          <w:sz w:val="56"/>
          <w:szCs w:val="56"/>
        </w:rPr>
        <w:t>件</w:t>
      </w:r>
    </w:p>
    <w:p>
      <w:pPr>
        <w:pStyle w:val="56"/>
        <w:snapToGrid w:val="0"/>
        <w:spacing w:beforeLines="0" w:afterLines="0"/>
        <w:ind w:firstLine="2392" w:firstLineChars="842"/>
        <w:rPr>
          <w:rFonts w:hint="eastAsia" w:ascii="仿宋" w:hAnsi="仿宋" w:eastAsia="仿宋" w:cs="仿宋"/>
          <w:b/>
          <w:sz w:val="30"/>
          <w:szCs w:val="30"/>
        </w:rPr>
      </w:pPr>
    </w:p>
    <w:p>
      <w:pPr>
        <w:pStyle w:val="56"/>
        <w:snapToGrid w:val="0"/>
        <w:spacing w:beforeLines="0" w:afterLines="0"/>
        <w:ind w:firstLine="2673" w:firstLineChars="696"/>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6"/>
        <w:snapToGrid w:val="0"/>
        <w:spacing w:beforeLines="0" w:afterLines="0"/>
        <w:ind w:firstLine="2962" w:firstLineChars="748"/>
        <w:rPr>
          <w:rFonts w:hint="eastAsia" w:ascii="仿宋" w:hAnsi="仿宋" w:eastAsia="仿宋" w:cs="仿宋"/>
          <w:spacing w:val="6"/>
          <w:sz w:val="22"/>
          <w:szCs w:val="22"/>
        </w:rPr>
        <w:sectPr>
          <w:footerReference r:id="rId3" w:type="default"/>
          <w:footerReference r:id="rId4" w:type="even"/>
          <w:pgSz w:w="11906" w:h="16838"/>
          <w:pgMar w:top="1440" w:right="1080" w:bottom="1440" w:left="1080" w:header="851" w:footer="1588" w:gutter="0"/>
          <w:cols w:space="720" w:num="1"/>
          <w:docGrid w:type="linesAndChars" w:linePitch="621" w:charSpace="-3380"/>
        </w:sect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eastAsia="zh-CN"/>
        </w:rPr>
        <w:t>一</w:t>
      </w:r>
      <w:r>
        <w:rPr>
          <w:rFonts w:hint="eastAsia" w:ascii="仿宋" w:hAnsi="仿宋" w:eastAsia="仿宋" w:cs="仿宋"/>
          <w:b/>
          <w:bCs/>
          <w:spacing w:val="6"/>
          <w:sz w:val="40"/>
          <w:szCs w:val="40"/>
        </w:rPr>
        <w:t>月</w:t>
      </w:r>
    </w:p>
    <w:p>
      <w:pPr>
        <w:pStyle w:val="17"/>
        <w:tabs>
          <w:tab w:val="right" w:leader="dot" w:pos="8901"/>
        </w:tabs>
        <w:ind w:firstLine="3784" w:firstLineChars="1100"/>
        <w:jc w:val="both"/>
        <w:rPr>
          <w:rFonts w:hint="eastAsia" w:ascii="仿宋" w:hAnsi="仿宋" w:eastAsia="仿宋" w:cs="仿宋"/>
          <w:b/>
          <w:bCs/>
          <w:sz w:val="36"/>
          <w:szCs w:val="36"/>
        </w:rPr>
      </w:pPr>
      <w:bookmarkStart w:id="0" w:name="_Toc15936_WPSOffice_Level1"/>
      <w:bookmarkStart w:id="1" w:name="_Toc3142_WPSOffice_Level1"/>
      <w:r>
        <w:rPr>
          <w:rFonts w:hint="eastAsia" w:ascii="仿宋" w:hAnsi="仿宋" w:eastAsia="仿宋" w:cs="仿宋"/>
          <w:b/>
          <w:bCs/>
          <w:sz w:val="36"/>
          <w:szCs w:val="36"/>
        </w:rPr>
        <w:t>目 录</w:t>
      </w:r>
    </w:p>
    <w:p>
      <w:pPr>
        <w:pStyle w:val="17"/>
        <w:tabs>
          <w:tab w:val="right" w:leader="dot" w:pos="8901"/>
        </w:tabs>
        <w:rPr>
          <w:b/>
          <w:bCs/>
          <w:sz w:val="21"/>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_Toc30399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第一部分  磋商邀请</w:t>
      </w:r>
      <w:r>
        <w:rPr>
          <w:b/>
          <w:bCs/>
          <w:sz w:val="21"/>
          <w:szCs w:val="24"/>
        </w:rPr>
        <w:tab/>
      </w:r>
      <w:r>
        <w:rPr>
          <w:b/>
          <w:bCs/>
          <w:sz w:val="21"/>
          <w:szCs w:val="24"/>
        </w:rPr>
        <w:fldChar w:fldCharType="begin"/>
      </w:r>
      <w:r>
        <w:rPr>
          <w:b/>
          <w:bCs/>
          <w:sz w:val="21"/>
          <w:szCs w:val="24"/>
        </w:rPr>
        <w:instrText xml:space="preserve"> PAGEREF _Toc30399 </w:instrText>
      </w:r>
      <w:r>
        <w:rPr>
          <w:b/>
          <w:bCs/>
          <w:sz w:val="21"/>
          <w:szCs w:val="24"/>
        </w:rPr>
        <w:fldChar w:fldCharType="separate"/>
      </w:r>
      <w:r>
        <w:rPr>
          <w:b/>
          <w:bCs/>
          <w:sz w:val="21"/>
          <w:szCs w:val="24"/>
        </w:rPr>
        <w:t>1</w:t>
      </w:r>
      <w:r>
        <w:rPr>
          <w:b/>
          <w:bCs/>
          <w:sz w:val="21"/>
          <w:szCs w:val="24"/>
        </w:rPr>
        <w:fldChar w:fldCharType="end"/>
      </w:r>
      <w:r>
        <w:rPr>
          <w:rFonts w:hint="eastAsia" w:ascii="仿宋" w:hAnsi="仿宋" w:eastAsia="仿宋" w:cs="仿宋"/>
          <w:b/>
          <w:bCs/>
          <w:sz w:val="21"/>
          <w:szCs w:val="24"/>
        </w:rPr>
        <w:fldChar w:fldCharType="end"/>
      </w:r>
    </w:p>
    <w:p>
      <w:pPr>
        <w:pStyle w:val="17"/>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_Toc5505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第二部分  供应商须知</w:t>
      </w:r>
      <w:r>
        <w:rPr>
          <w:b/>
          <w:bCs/>
          <w:sz w:val="21"/>
          <w:szCs w:val="24"/>
        </w:rPr>
        <w:tab/>
      </w:r>
      <w:r>
        <w:rPr>
          <w:b/>
          <w:bCs/>
          <w:sz w:val="21"/>
          <w:szCs w:val="24"/>
        </w:rPr>
        <w:fldChar w:fldCharType="begin"/>
      </w:r>
      <w:r>
        <w:rPr>
          <w:b/>
          <w:bCs/>
          <w:sz w:val="21"/>
          <w:szCs w:val="24"/>
        </w:rPr>
        <w:instrText xml:space="preserve"> PAGEREF _Toc5505 </w:instrText>
      </w:r>
      <w:r>
        <w:rPr>
          <w:b/>
          <w:bCs/>
          <w:sz w:val="21"/>
          <w:szCs w:val="24"/>
        </w:rPr>
        <w:fldChar w:fldCharType="separate"/>
      </w:r>
      <w:r>
        <w:rPr>
          <w:b/>
          <w:bCs/>
          <w:sz w:val="21"/>
          <w:szCs w:val="24"/>
        </w:rPr>
        <w:t>3</w:t>
      </w:r>
      <w:r>
        <w:rPr>
          <w:b/>
          <w:bCs/>
          <w:sz w:val="21"/>
          <w:szCs w:val="24"/>
        </w:rPr>
        <w:fldChar w:fldCharType="end"/>
      </w:r>
      <w:r>
        <w:rPr>
          <w:rFonts w:hint="eastAsia" w:ascii="仿宋" w:hAnsi="仿宋" w:eastAsia="仿宋" w:cs="仿宋"/>
          <w:b/>
          <w:bCs/>
          <w:sz w:val="21"/>
          <w:szCs w:val="24"/>
        </w:rPr>
        <w:fldChar w:fldCharType="end"/>
      </w:r>
    </w:p>
    <w:p>
      <w:pPr>
        <w:pStyle w:val="17"/>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_Toc2106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第三部分  磋商文件主要格式</w:t>
      </w:r>
      <w:r>
        <w:rPr>
          <w:b/>
          <w:bCs/>
          <w:sz w:val="21"/>
          <w:szCs w:val="24"/>
        </w:rPr>
        <w:tab/>
      </w:r>
      <w:r>
        <w:rPr>
          <w:b/>
          <w:bCs/>
          <w:sz w:val="21"/>
          <w:szCs w:val="24"/>
        </w:rPr>
        <w:fldChar w:fldCharType="begin"/>
      </w:r>
      <w:r>
        <w:rPr>
          <w:b/>
          <w:bCs/>
          <w:sz w:val="21"/>
          <w:szCs w:val="24"/>
        </w:rPr>
        <w:instrText xml:space="preserve"> PAGEREF _Toc2106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_Toc4477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 响应文件封面格式</w:t>
      </w:r>
      <w:r>
        <w:rPr>
          <w:b/>
          <w:bCs/>
          <w:sz w:val="21"/>
          <w:szCs w:val="24"/>
        </w:rPr>
        <w:tab/>
      </w:r>
      <w:r>
        <w:rPr>
          <w:b/>
          <w:bCs/>
          <w:sz w:val="21"/>
          <w:szCs w:val="24"/>
        </w:rPr>
        <w:fldChar w:fldCharType="begin"/>
      </w:r>
      <w:r>
        <w:rPr>
          <w:b/>
          <w:bCs/>
          <w:sz w:val="21"/>
          <w:szCs w:val="24"/>
        </w:rPr>
        <w:instrText xml:space="preserve"> PAGEREF _Toc4477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_Toc9756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格式2磋商申请书</w:t>
      </w:r>
      <w:r>
        <w:rPr>
          <w:b/>
          <w:bCs/>
          <w:sz w:val="21"/>
          <w:szCs w:val="24"/>
        </w:rPr>
        <w:tab/>
      </w:r>
      <w:r>
        <w:rPr>
          <w:b/>
          <w:bCs/>
          <w:sz w:val="21"/>
          <w:szCs w:val="24"/>
        </w:rPr>
        <w:fldChar w:fldCharType="begin"/>
      </w:r>
      <w:r>
        <w:rPr>
          <w:b/>
          <w:bCs/>
          <w:sz w:val="21"/>
          <w:szCs w:val="24"/>
        </w:rPr>
        <w:instrText xml:space="preserve"> PAGEREF _Toc9756 </w:instrText>
      </w:r>
      <w:r>
        <w:rPr>
          <w:b/>
          <w:bCs/>
          <w:sz w:val="21"/>
          <w:szCs w:val="24"/>
        </w:rPr>
        <w:fldChar w:fldCharType="separate"/>
      </w:r>
      <w:r>
        <w:rPr>
          <w:b/>
          <w:bCs/>
          <w:sz w:val="21"/>
          <w:szCs w:val="24"/>
        </w:rPr>
        <w:t>10</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_Toc6393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格式3 响应函（实质性要求）</w:t>
      </w:r>
      <w:r>
        <w:rPr>
          <w:b/>
          <w:bCs/>
          <w:sz w:val="21"/>
          <w:szCs w:val="24"/>
        </w:rPr>
        <w:tab/>
      </w:r>
      <w:r>
        <w:rPr>
          <w:b/>
          <w:bCs/>
          <w:sz w:val="21"/>
          <w:szCs w:val="24"/>
        </w:rPr>
        <w:fldChar w:fldCharType="begin"/>
      </w:r>
      <w:r>
        <w:rPr>
          <w:b/>
          <w:bCs/>
          <w:sz w:val="21"/>
          <w:szCs w:val="24"/>
        </w:rPr>
        <w:instrText xml:space="preserve"> PAGEREF _Toc6393 </w:instrText>
      </w:r>
      <w:r>
        <w:rPr>
          <w:b/>
          <w:bCs/>
          <w:sz w:val="21"/>
          <w:szCs w:val="24"/>
        </w:rPr>
        <w:fldChar w:fldCharType="separate"/>
      </w:r>
      <w:r>
        <w:rPr>
          <w:b/>
          <w:bCs/>
          <w:sz w:val="21"/>
          <w:szCs w:val="24"/>
        </w:rPr>
        <w:t>11</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_Toc10342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格式4 承诺函</w:t>
      </w:r>
      <w:r>
        <w:rPr>
          <w:b/>
          <w:bCs/>
          <w:sz w:val="21"/>
          <w:szCs w:val="24"/>
        </w:rPr>
        <w:tab/>
      </w:r>
      <w:r>
        <w:rPr>
          <w:b/>
          <w:bCs/>
          <w:sz w:val="21"/>
          <w:szCs w:val="24"/>
        </w:rPr>
        <w:fldChar w:fldCharType="begin"/>
      </w:r>
      <w:r>
        <w:rPr>
          <w:b/>
          <w:bCs/>
          <w:sz w:val="21"/>
          <w:szCs w:val="24"/>
        </w:rPr>
        <w:instrText xml:space="preserve"> PAGEREF _Toc10342 </w:instrText>
      </w:r>
      <w:r>
        <w:rPr>
          <w:b/>
          <w:bCs/>
          <w:sz w:val="21"/>
          <w:szCs w:val="24"/>
        </w:rPr>
        <w:fldChar w:fldCharType="separate"/>
      </w:r>
      <w:r>
        <w:rPr>
          <w:b/>
          <w:bCs/>
          <w:sz w:val="21"/>
          <w:szCs w:val="24"/>
        </w:rPr>
        <w:t>12</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_Toc4991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格式5 依法缴纳税收和社会保障资金承诺函</w:t>
      </w:r>
      <w:r>
        <w:rPr>
          <w:b/>
          <w:bCs/>
          <w:sz w:val="21"/>
          <w:szCs w:val="24"/>
        </w:rPr>
        <w:tab/>
      </w:r>
      <w:r>
        <w:rPr>
          <w:b/>
          <w:bCs/>
          <w:sz w:val="21"/>
          <w:szCs w:val="24"/>
        </w:rPr>
        <w:fldChar w:fldCharType="begin"/>
      </w:r>
      <w:r>
        <w:rPr>
          <w:b/>
          <w:bCs/>
          <w:sz w:val="21"/>
          <w:szCs w:val="24"/>
        </w:rPr>
        <w:instrText xml:space="preserve"> PAGEREF _Toc4991 </w:instrText>
      </w:r>
      <w:r>
        <w:rPr>
          <w:b/>
          <w:bCs/>
          <w:sz w:val="21"/>
          <w:szCs w:val="24"/>
        </w:rPr>
        <w:fldChar w:fldCharType="separate"/>
      </w:r>
      <w:r>
        <w:rPr>
          <w:b/>
          <w:bCs/>
          <w:sz w:val="21"/>
          <w:szCs w:val="24"/>
        </w:rPr>
        <w:t>13</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_Toc20934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格式6法定代表人/负责人授权委托书（实质性要求）</w:t>
      </w:r>
      <w:r>
        <w:rPr>
          <w:b/>
          <w:bCs/>
          <w:sz w:val="21"/>
          <w:szCs w:val="24"/>
        </w:rPr>
        <w:tab/>
      </w:r>
      <w:r>
        <w:rPr>
          <w:b/>
          <w:bCs/>
          <w:sz w:val="21"/>
          <w:szCs w:val="24"/>
        </w:rPr>
        <w:fldChar w:fldCharType="begin"/>
      </w:r>
      <w:r>
        <w:rPr>
          <w:b/>
          <w:bCs/>
          <w:sz w:val="21"/>
          <w:szCs w:val="24"/>
        </w:rPr>
        <w:instrText xml:space="preserve"> PAGEREF _Toc20934 </w:instrText>
      </w:r>
      <w:r>
        <w:rPr>
          <w:b/>
          <w:bCs/>
          <w:sz w:val="21"/>
          <w:szCs w:val="24"/>
        </w:rPr>
        <w:fldChar w:fldCharType="separate"/>
      </w:r>
      <w:r>
        <w:rPr>
          <w:b/>
          <w:bCs/>
          <w:sz w:val="21"/>
          <w:szCs w:val="24"/>
        </w:rPr>
        <w:t>14</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_Toc29995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格式7 技术应答表</w:t>
      </w:r>
      <w:r>
        <w:rPr>
          <w:b/>
          <w:bCs/>
          <w:sz w:val="21"/>
          <w:szCs w:val="24"/>
        </w:rPr>
        <w:tab/>
      </w:r>
      <w:r>
        <w:rPr>
          <w:b/>
          <w:bCs/>
          <w:sz w:val="21"/>
          <w:szCs w:val="24"/>
        </w:rPr>
        <w:fldChar w:fldCharType="begin"/>
      </w:r>
      <w:r>
        <w:rPr>
          <w:b/>
          <w:bCs/>
          <w:sz w:val="21"/>
          <w:szCs w:val="24"/>
        </w:rPr>
        <w:instrText xml:space="preserve"> PAGEREF _Toc29995 </w:instrText>
      </w:r>
      <w:r>
        <w:rPr>
          <w:b/>
          <w:bCs/>
          <w:sz w:val="21"/>
          <w:szCs w:val="24"/>
        </w:rPr>
        <w:fldChar w:fldCharType="separate"/>
      </w:r>
      <w:r>
        <w:rPr>
          <w:b/>
          <w:bCs/>
          <w:sz w:val="21"/>
          <w:szCs w:val="24"/>
        </w:rPr>
        <w:t>15</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_Toc6528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格式8 商务偏离表</w:t>
      </w:r>
      <w:r>
        <w:rPr>
          <w:b/>
          <w:bCs/>
          <w:sz w:val="21"/>
          <w:szCs w:val="24"/>
        </w:rPr>
        <w:tab/>
      </w:r>
      <w:r>
        <w:rPr>
          <w:b/>
          <w:bCs/>
          <w:sz w:val="21"/>
          <w:szCs w:val="24"/>
        </w:rPr>
        <w:fldChar w:fldCharType="begin"/>
      </w:r>
      <w:r>
        <w:rPr>
          <w:b/>
          <w:bCs/>
          <w:sz w:val="21"/>
          <w:szCs w:val="24"/>
        </w:rPr>
        <w:instrText xml:space="preserve"> PAGEREF _Toc6528 </w:instrText>
      </w:r>
      <w:r>
        <w:rPr>
          <w:b/>
          <w:bCs/>
          <w:sz w:val="21"/>
          <w:szCs w:val="24"/>
        </w:rPr>
        <w:fldChar w:fldCharType="separate"/>
      </w:r>
      <w:r>
        <w:rPr>
          <w:b/>
          <w:bCs/>
          <w:sz w:val="21"/>
          <w:szCs w:val="24"/>
        </w:rPr>
        <w:t>16</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_Toc17759 </w:instrText>
      </w:r>
      <w:r>
        <w:rPr>
          <w:rFonts w:hint="eastAsia" w:ascii="仿宋" w:hAnsi="仿宋" w:eastAsia="仿宋" w:cs="仿宋"/>
          <w:b/>
          <w:bCs/>
          <w:sz w:val="21"/>
          <w:szCs w:val="24"/>
        </w:rPr>
        <w:fldChar w:fldCharType="separate"/>
      </w:r>
      <w:r>
        <w:rPr>
          <w:rFonts w:hint="eastAsia" w:ascii="仿宋" w:hAnsi="仿宋" w:eastAsia="仿宋" w:cs="仿宋"/>
          <w:b/>
          <w:bCs/>
          <w:kern w:val="2"/>
          <w:sz w:val="21"/>
          <w:szCs w:val="32"/>
        </w:rPr>
        <w:t>格式9 承诺书</w:t>
      </w:r>
      <w:r>
        <w:rPr>
          <w:b/>
          <w:bCs/>
          <w:sz w:val="21"/>
          <w:szCs w:val="24"/>
        </w:rPr>
        <w:tab/>
      </w:r>
      <w:r>
        <w:rPr>
          <w:b/>
          <w:bCs/>
          <w:sz w:val="21"/>
          <w:szCs w:val="24"/>
        </w:rPr>
        <w:fldChar w:fldCharType="begin"/>
      </w:r>
      <w:r>
        <w:rPr>
          <w:b/>
          <w:bCs/>
          <w:sz w:val="21"/>
          <w:szCs w:val="24"/>
        </w:rPr>
        <w:instrText xml:space="preserve"> PAGEREF _Toc17759 </w:instrText>
      </w:r>
      <w:r>
        <w:rPr>
          <w:b/>
          <w:bCs/>
          <w:sz w:val="21"/>
          <w:szCs w:val="24"/>
        </w:rPr>
        <w:fldChar w:fldCharType="separate"/>
      </w:r>
      <w:r>
        <w:rPr>
          <w:b/>
          <w:bCs/>
          <w:sz w:val="21"/>
          <w:szCs w:val="24"/>
        </w:rPr>
        <w:t>17</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rFonts w:hint="default"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_Toc27101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 xml:space="preserve">格式10 </w:t>
      </w:r>
      <w:r>
        <w:rPr>
          <w:rFonts w:hint="eastAsia" w:ascii="仿宋" w:hAnsi="仿宋" w:eastAsia="仿宋" w:cs="仿宋"/>
          <w:b/>
          <w:bCs/>
          <w:sz w:val="21"/>
          <w:szCs w:val="24"/>
          <w:lang w:val="en-US" w:eastAsia="zh-CN"/>
        </w:rPr>
        <w:t>首轮报价表</w:t>
      </w:r>
      <w:r>
        <w:rPr>
          <w:b/>
          <w:bCs/>
          <w:sz w:val="21"/>
          <w:szCs w:val="24"/>
        </w:rPr>
        <w:tab/>
      </w:r>
      <w:r>
        <w:rPr>
          <w:rFonts w:hint="eastAsia" w:ascii="仿宋" w:hAnsi="仿宋" w:eastAsia="仿宋" w:cs="仿宋"/>
          <w:b/>
          <w:bCs/>
          <w:sz w:val="21"/>
          <w:szCs w:val="24"/>
        </w:rPr>
        <w:fldChar w:fldCharType="end"/>
      </w:r>
      <w:r>
        <w:rPr>
          <w:rFonts w:hint="eastAsia" w:ascii="仿宋" w:hAnsi="仿宋" w:eastAsia="仿宋" w:cs="仿宋"/>
          <w:b/>
          <w:bCs/>
          <w:sz w:val="21"/>
          <w:szCs w:val="24"/>
          <w:lang w:val="en-US" w:eastAsia="zh-CN"/>
        </w:rPr>
        <w:t>18</w:t>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_Toc27655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格式11具有履行合同所必须的设备和专业技术能力的承诺函</w:t>
      </w:r>
      <w:r>
        <w:rPr>
          <w:b/>
          <w:bCs/>
          <w:sz w:val="21"/>
          <w:szCs w:val="24"/>
        </w:rPr>
        <w:tab/>
      </w:r>
      <w:r>
        <w:rPr>
          <w:b/>
          <w:bCs/>
          <w:sz w:val="21"/>
          <w:szCs w:val="24"/>
        </w:rPr>
        <w:fldChar w:fldCharType="begin"/>
      </w:r>
      <w:r>
        <w:rPr>
          <w:b/>
          <w:bCs/>
          <w:sz w:val="21"/>
          <w:szCs w:val="24"/>
        </w:rPr>
        <w:instrText xml:space="preserve"> PAGEREF _Toc27655 </w:instrText>
      </w:r>
      <w:r>
        <w:rPr>
          <w:b/>
          <w:bCs/>
          <w:sz w:val="21"/>
          <w:szCs w:val="24"/>
        </w:rPr>
        <w:fldChar w:fldCharType="separate"/>
      </w:r>
      <w:r>
        <w:rPr>
          <w:b/>
          <w:bCs/>
          <w:sz w:val="21"/>
          <w:szCs w:val="24"/>
        </w:rPr>
        <w:t>19</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rFonts w:hint="default" w:ascii="仿宋" w:hAnsi="仿宋" w:eastAsia="宋体" w:cs="仿宋"/>
          <w:b/>
          <w:bCs/>
          <w:sz w:val="21"/>
          <w:szCs w:val="24"/>
          <w:lang w:val="en-US" w:eastAsia="zh-CN"/>
        </w:rPr>
      </w:pPr>
      <w:r>
        <w:rPr>
          <w:rFonts w:hint="eastAsia" w:ascii="仿宋" w:hAnsi="仿宋" w:eastAsia="仿宋" w:cs="仿宋"/>
          <w:b/>
          <w:bCs/>
          <w:sz w:val="21"/>
          <w:szCs w:val="24"/>
          <w:lang w:val="en-US" w:eastAsia="zh-CN"/>
        </w:rPr>
        <w:t>格式12  分项报价明细表</w:t>
      </w:r>
      <w:r>
        <w:rPr>
          <w:b/>
          <w:bCs/>
          <w:sz w:val="21"/>
          <w:szCs w:val="24"/>
        </w:rPr>
        <w:tab/>
      </w:r>
      <w:r>
        <w:rPr>
          <w:rFonts w:hint="eastAsia"/>
          <w:b/>
          <w:bCs/>
          <w:sz w:val="21"/>
          <w:szCs w:val="24"/>
          <w:lang w:val="en-US" w:eastAsia="zh-CN"/>
        </w:rPr>
        <w:t>20</w:t>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_Toc7884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第四部分 采购项目技术服务及其他商务要求</w:t>
      </w:r>
      <w:r>
        <w:rPr>
          <w:rFonts w:hint="eastAsia" w:ascii="仿宋" w:hAnsi="仿宋" w:eastAsia="仿宋" w:cs="仿宋"/>
          <w:b/>
          <w:bCs/>
          <w:sz w:val="21"/>
          <w:szCs w:val="32"/>
        </w:rPr>
        <w:t>（实质性要求）</w:t>
      </w:r>
      <w:r>
        <w:rPr>
          <w:b/>
          <w:bCs/>
          <w:sz w:val="21"/>
          <w:szCs w:val="24"/>
        </w:rPr>
        <w:tab/>
      </w:r>
      <w:r>
        <w:rPr>
          <w:b/>
          <w:bCs/>
          <w:sz w:val="21"/>
          <w:szCs w:val="24"/>
        </w:rPr>
        <w:fldChar w:fldCharType="begin"/>
      </w:r>
      <w:r>
        <w:rPr>
          <w:b/>
          <w:bCs/>
          <w:sz w:val="21"/>
          <w:szCs w:val="24"/>
        </w:rPr>
        <w:instrText xml:space="preserve"> PAGEREF _Toc7884 </w:instrText>
      </w:r>
      <w:r>
        <w:rPr>
          <w:b/>
          <w:bCs/>
          <w:sz w:val="21"/>
          <w:szCs w:val="24"/>
        </w:rPr>
        <w:fldChar w:fldCharType="separate"/>
      </w:r>
      <w:r>
        <w:rPr>
          <w:b/>
          <w:bCs/>
          <w:sz w:val="21"/>
          <w:szCs w:val="24"/>
        </w:rPr>
        <w:t>21</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_Toc546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第五部分 评分标准</w:t>
      </w:r>
      <w:r>
        <w:rPr>
          <w:b/>
          <w:bCs/>
          <w:sz w:val="21"/>
          <w:szCs w:val="24"/>
        </w:rPr>
        <w:tab/>
      </w:r>
      <w:r>
        <w:rPr>
          <w:b/>
          <w:bCs/>
          <w:sz w:val="21"/>
          <w:szCs w:val="24"/>
        </w:rPr>
        <w:fldChar w:fldCharType="begin"/>
      </w:r>
      <w:r>
        <w:rPr>
          <w:b/>
          <w:bCs/>
          <w:sz w:val="21"/>
          <w:szCs w:val="24"/>
        </w:rPr>
        <w:instrText xml:space="preserve"> PAGEREF _Toc546 </w:instrText>
      </w:r>
      <w:r>
        <w:rPr>
          <w:b/>
          <w:bCs/>
          <w:sz w:val="21"/>
          <w:szCs w:val="24"/>
        </w:rPr>
        <w:fldChar w:fldCharType="separate"/>
      </w:r>
      <w:r>
        <w:rPr>
          <w:b/>
          <w:bCs/>
          <w:sz w:val="21"/>
          <w:szCs w:val="24"/>
        </w:rPr>
        <w:t>23</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_Toc11996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6"/>
        </w:rPr>
        <w:t xml:space="preserve">第六部分 </w:t>
      </w:r>
      <w:r>
        <w:rPr>
          <w:rFonts w:hint="eastAsia" w:ascii="仿宋" w:hAnsi="仿宋" w:eastAsia="仿宋" w:cs="仿宋"/>
          <w:b/>
          <w:bCs/>
          <w:sz w:val="21"/>
          <w:szCs w:val="24"/>
        </w:rPr>
        <w:t>合同主要条款（参考）</w:t>
      </w:r>
      <w:r>
        <w:rPr>
          <w:b/>
          <w:bCs/>
          <w:sz w:val="21"/>
          <w:szCs w:val="24"/>
        </w:rPr>
        <w:tab/>
      </w:r>
      <w:r>
        <w:rPr>
          <w:b/>
          <w:bCs/>
          <w:sz w:val="21"/>
          <w:szCs w:val="24"/>
        </w:rPr>
        <w:fldChar w:fldCharType="begin"/>
      </w:r>
      <w:r>
        <w:rPr>
          <w:b/>
          <w:bCs/>
          <w:sz w:val="21"/>
          <w:szCs w:val="24"/>
        </w:rPr>
        <w:instrText xml:space="preserve"> PAGEREF _Toc11996 </w:instrText>
      </w:r>
      <w:r>
        <w:rPr>
          <w:b/>
          <w:bCs/>
          <w:sz w:val="21"/>
          <w:szCs w:val="24"/>
        </w:rPr>
        <w:fldChar w:fldCharType="separate"/>
      </w:r>
      <w:r>
        <w:rPr>
          <w:b/>
          <w:bCs/>
          <w:sz w:val="21"/>
          <w:szCs w:val="24"/>
        </w:rPr>
        <w:t>26</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_Toc30905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第七部分 附件</w:t>
      </w:r>
      <w:r>
        <w:rPr>
          <w:b/>
          <w:bCs/>
          <w:sz w:val="21"/>
          <w:szCs w:val="24"/>
        </w:rPr>
        <w:tab/>
      </w:r>
      <w:r>
        <w:rPr>
          <w:b/>
          <w:bCs/>
          <w:sz w:val="21"/>
          <w:szCs w:val="24"/>
        </w:rPr>
        <w:fldChar w:fldCharType="begin"/>
      </w:r>
      <w:r>
        <w:rPr>
          <w:b/>
          <w:bCs/>
          <w:sz w:val="21"/>
          <w:szCs w:val="24"/>
        </w:rPr>
        <w:instrText xml:space="preserve"> PAGEREF _Toc30905 </w:instrText>
      </w:r>
      <w:r>
        <w:rPr>
          <w:b/>
          <w:bCs/>
          <w:sz w:val="21"/>
          <w:szCs w:val="24"/>
        </w:rPr>
        <w:fldChar w:fldCharType="separate"/>
      </w:r>
      <w:r>
        <w:rPr>
          <w:b/>
          <w:bCs/>
          <w:sz w:val="21"/>
          <w:szCs w:val="24"/>
        </w:rPr>
        <w:t>29</w:t>
      </w:r>
      <w:r>
        <w:rPr>
          <w:b/>
          <w:bCs/>
          <w:sz w:val="21"/>
          <w:szCs w:val="24"/>
        </w:rPr>
        <w:fldChar w:fldCharType="end"/>
      </w:r>
      <w:r>
        <w:rPr>
          <w:rFonts w:hint="eastAsia" w:ascii="仿宋" w:hAnsi="仿宋" w:eastAsia="仿宋" w:cs="仿宋"/>
          <w:b/>
          <w:bCs/>
          <w:sz w:val="21"/>
          <w:szCs w:val="24"/>
        </w:rPr>
        <w:fldChar w:fldCharType="end"/>
      </w:r>
    </w:p>
    <w:p>
      <w:pPr>
        <w:pStyle w:val="19"/>
        <w:tabs>
          <w:tab w:val="right" w:leader="dot" w:pos="8901"/>
        </w:tabs>
        <w:rPr>
          <w:rFonts w:hint="eastAsia" w:eastAsia="仿宋"/>
          <w:sz w:val="22"/>
          <w:szCs w:val="28"/>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_Toc11853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附件1 供应商报名登记表</w:t>
      </w:r>
      <w:r>
        <w:rPr>
          <w:b/>
          <w:bCs/>
          <w:sz w:val="21"/>
          <w:szCs w:val="24"/>
        </w:rPr>
        <w:tab/>
      </w:r>
      <w:r>
        <w:rPr>
          <w:rFonts w:hint="eastAsia"/>
          <w:b/>
          <w:bCs/>
          <w:sz w:val="21"/>
          <w:szCs w:val="24"/>
          <w:lang w:val="en-US" w:eastAsia="zh-CN"/>
        </w:rPr>
        <w:t>2</w:t>
      </w:r>
      <w:r>
        <w:rPr>
          <w:rFonts w:hint="eastAsia" w:ascii="仿宋" w:hAnsi="仿宋" w:eastAsia="仿宋" w:cs="仿宋"/>
          <w:b/>
          <w:bCs/>
          <w:sz w:val="21"/>
          <w:szCs w:val="24"/>
        </w:rPr>
        <w:fldChar w:fldCharType="end"/>
      </w:r>
      <w:r>
        <w:rPr>
          <w:rFonts w:hint="eastAsia" w:ascii="仿宋" w:hAnsi="仿宋" w:eastAsia="仿宋" w:cs="仿宋"/>
          <w:sz w:val="21"/>
          <w:szCs w:val="24"/>
          <w:lang w:val="en-US" w:eastAsia="zh-CN"/>
        </w:rPr>
        <w:t>8</w:t>
      </w:r>
    </w:p>
    <w:p>
      <w:pPr>
        <w:pStyle w:val="59"/>
        <w:tabs>
          <w:tab w:val="right" w:leader="dot" w:pos="8901"/>
        </w:tabs>
        <w:adjustRightInd w:val="0"/>
        <w:snapToGrid w:val="0"/>
        <w:ind w:leftChars="0"/>
        <w:rPr>
          <w:rFonts w:hint="eastAsia" w:ascii="仿宋" w:hAnsi="仿宋" w:eastAsia="仿宋" w:cs="仿宋"/>
          <w:b/>
          <w:sz w:val="24"/>
          <w:szCs w:val="24"/>
        </w:rPr>
        <w:sectPr>
          <w:footerReference r:id="rId5" w:type="default"/>
          <w:pgSz w:w="11906" w:h="16838"/>
          <w:pgMar w:top="1417" w:right="1474" w:bottom="1247" w:left="1531" w:header="851" w:footer="1588" w:gutter="0"/>
          <w:pgNumType w:start="1"/>
          <w:cols w:space="720" w:num="1"/>
          <w:docGrid w:type="linesAndChars" w:linePitch="621" w:charSpace="-3380"/>
        </w:sectPr>
      </w:pPr>
      <w:r>
        <w:rPr>
          <w:rFonts w:hint="eastAsia" w:ascii="仿宋" w:hAnsi="仿宋" w:eastAsia="仿宋" w:cs="仿宋"/>
          <w:sz w:val="20"/>
          <w:szCs w:val="24"/>
        </w:rPr>
        <w:fldChar w:fldCharType="end"/>
      </w:r>
    </w:p>
    <w:p>
      <w:pPr>
        <w:pageBreakBefore/>
        <w:snapToGrid w:val="0"/>
        <w:spacing w:line="360" w:lineRule="auto"/>
        <w:ind w:firstLine="2736" w:firstLineChars="900"/>
        <w:outlineLvl w:val="0"/>
        <w:rPr>
          <w:rFonts w:hint="eastAsia" w:ascii="仿宋" w:hAnsi="仿宋" w:eastAsia="仿宋" w:cs="仿宋"/>
          <w:b/>
          <w:sz w:val="32"/>
          <w:szCs w:val="32"/>
        </w:rPr>
      </w:pPr>
      <w:bookmarkStart w:id="2" w:name="_Toc30399"/>
      <w:bookmarkStart w:id="3" w:name="_Toc4451_WPSOffice_Level1"/>
      <w:bookmarkStart w:id="4" w:name="_Toc27730_WPSOffice_Level1"/>
      <w:r>
        <w:rPr>
          <w:rFonts w:hint="eastAsia" w:ascii="仿宋" w:hAnsi="仿宋" w:eastAsia="仿宋" w:cs="仿宋"/>
          <w:b/>
          <w:sz w:val="32"/>
          <w:szCs w:val="32"/>
        </w:rPr>
        <w:t>第一部分  磋商邀请</w:t>
      </w:r>
      <w:bookmarkEnd w:id="0"/>
      <w:bookmarkEnd w:id="1"/>
      <w:bookmarkEnd w:id="2"/>
      <w:bookmarkEnd w:id="3"/>
      <w:bookmarkEnd w:id="4"/>
    </w:p>
    <w:p>
      <w:pPr>
        <w:snapToGrid w:val="0"/>
        <w:spacing w:line="360" w:lineRule="auto"/>
        <w:ind w:firstLine="472" w:firstLineChars="200"/>
        <w:rPr>
          <w:rFonts w:hint="eastAsia" w:ascii="仿宋" w:hAnsi="仿宋" w:eastAsia="仿宋" w:cs="仿宋"/>
          <w:spacing w:val="6"/>
          <w:sz w:val="24"/>
          <w:u w:val="single"/>
        </w:rPr>
      </w:pPr>
      <w:r>
        <w:rPr>
          <w:rFonts w:hint="eastAsia" w:ascii="仿宋" w:hAnsi="仿宋" w:eastAsia="仿宋" w:cs="仿宋"/>
          <w:spacing w:val="6"/>
          <w:sz w:val="24"/>
          <w:u w:val="single"/>
          <w:lang w:val="zh-CN"/>
        </w:rPr>
        <w:t>内江市第二人民医院</w:t>
      </w:r>
      <w:r>
        <w:rPr>
          <w:rFonts w:hint="eastAsia" w:ascii="仿宋" w:hAnsi="仿宋" w:eastAsia="仿宋" w:cs="仿宋"/>
          <w:spacing w:val="6"/>
          <w:sz w:val="24"/>
          <w:u w:val="single"/>
        </w:rPr>
        <w:t>组织</w:t>
      </w:r>
      <w:r>
        <w:rPr>
          <w:rFonts w:hint="eastAsia" w:ascii="仿宋" w:hAnsi="仿宋" w:eastAsia="仿宋" w:cs="仿宋"/>
          <w:spacing w:val="6"/>
          <w:sz w:val="24"/>
          <w:lang w:val="en-US" w:eastAsia="zh-CN"/>
        </w:rPr>
        <w:t>内江市第二人民医院新门诊大楼污水处理站局部改造服务采购项目</w:t>
      </w:r>
      <w:r>
        <w:rPr>
          <w:rFonts w:hint="eastAsia" w:ascii="仿宋" w:hAnsi="仿宋" w:eastAsia="仿宋" w:cs="仿宋"/>
          <w:spacing w:val="6"/>
          <w:sz w:val="24"/>
          <w:u w:val="single"/>
        </w:rPr>
        <w:t>磋商活动，</w:t>
      </w:r>
      <w:r>
        <w:rPr>
          <w:rFonts w:hint="eastAsia" w:ascii="仿宋" w:hAnsi="仿宋" w:eastAsia="仿宋" w:cs="仿宋"/>
          <w:spacing w:val="6"/>
          <w:sz w:val="24"/>
          <w:u w:val="single"/>
          <w:lang w:val="en-US" w:eastAsia="zh-CN"/>
        </w:rPr>
        <w:t>拟</w:t>
      </w:r>
      <w:r>
        <w:rPr>
          <w:rFonts w:hint="eastAsia" w:ascii="仿宋" w:hAnsi="仿宋" w:eastAsia="仿宋" w:cs="仿宋"/>
          <w:spacing w:val="6"/>
          <w:sz w:val="24"/>
          <w:u w:val="single"/>
        </w:rPr>
        <w:t>在https://www.njs2yy.com/网发布公告的形式，邀请不少于3家符合条件的供应商参与本项目的磋商。</w:t>
      </w:r>
      <w:bookmarkStart w:id="124" w:name="_GoBack"/>
      <w:bookmarkEnd w:id="124"/>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1.1项目名称：</w:t>
      </w:r>
      <w:r>
        <w:rPr>
          <w:rFonts w:hint="eastAsia" w:ascii="仿宋" w:hAnsi="仿宋" w:eastAsia="仿宋" w:cs="仿宋"/>
          <w:spacing w:val="6"/>
          <w:sz w:val="24"/>
          <w:lang w:val="en-US" w:eastAsia="zh-CN"/>
        </w:rPr>
        <w:t>内江市第二人民医院新门诊大楼污水处理站局部改造服务采购项目；</w:t>
      </w:r>
    </w:p>
    <w:p>
      <w:pPr>
        <w:snapToGrid w:val="0"/>
        <w:spacing w:line="360" w:lineRule="auto"/>
        <w:ind w:firstLine="472" w:firstLineChars="200"/>
        <w:rPr>
          <w:rFonts w:hint="eastAsia" w:ascii="仿宋" w:hAnsi="仿宋" w:eastAsia="仿宋" w:cs="仿宋"/>
          <w:spacing w:val="6"/>
          <w:sz w:val="24"/>
          <w:lang w:eastAsia="zh-CN"/>
        </w:rPr>
      </w:pPr>
      <w:r>
        <w:rPr>
          <w:rFonts w:hint="eastAsia" w:ascii="仿宋" w:hAnsi="仿宋" w:eastAsia="仿宋" w:cs="仿宋"/>
          <w:spacing w:val="6"/>
          <w:sz w:val="24"/>
        </w:rPr>
        <w:t>1.2</w:t>
      </w:r>
      <w:r>
        <w:rPr>
          <w:rFonts w:hint="eastAsia" w:ascii="仿宋" w:hAnsi="仿宋" w:eastAsia="仿宋" w:cs="仿宋"/>
          <w:spacing w:val="6"/>
          <w:sz w:val="24"/>
          <w:lang w:eastAsia="zh-CN"/>
        </w:rPr>
        <w:t>采购预算：</w:t>
      </w:r>
      <w:r>
        <w:rPr>
          <w:rFonts w:hint="eastAsia" w:ascii="仿宋" w:hAnsi="仿宋" w:eastAsia="仿宋" w:cs="仿宋"/>
          <w:spacing w:val="6"/>
          <w:sz w:val="24"/>
          <w:lang w:val="en-US" w:eastAsia="zh-CN"/>
        </w:rPr>
        <w:t>66450.00</w:t>
      </w:r>
      <w:r>
        <w:rPr>
          <w:rFonts w:hint="eastAsia" w:ascii="仿宋" w:hAnsi="仿宋" w:eastAsia="仿宋" w:cs="仿宋"/>
          <w:spacing w:val="6"/>
          <w:sz w:val="24"/>
        </w:rPr>
        <w:t>元</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大写：陆万陆仟肆佰伍拾元整</w:t>
      </w:r>
      <w:r>
        <w:rPr>
          <w:rFonts w:hint="eastAsia" w:ascii="仿宋" w:hAnsi="仿宋" w:eastAsia="仿宋" w:cs="仿宋"/>
          <w:spacing w:val="6"/>
          <w:sz w:val="24"/>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1.3</w:t>
      </w:r>
      <w:r>
        <w:rPr>
          <w:rFonts w:hint="eastAsia" w:ascii="仿宋" w:hAnsi="仿宋" w:eastAsia="仿宋" w:cs="仿宋"/>
          <w:spacing w:val="6"/>
          <w:sz w:val="24"/>
        </w:rPr>
        <w:t>最高限价</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66450.00</w:t>
      </w:r>
      <w:r>
        <w:rPr>
          <w:rFonts w:hint="eastAsia" w:ascii="仿宋" w:hAnsi="仿宋" w:eastAsia="仿宋" w:cs="仿宋"/>
          <w:spacing w:val="6"/>
          <w:sz w:val="24"/>
        </w:rPr>
        <w:t>元</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大写：陆万陆仟肆佰伍拾元整</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4</w:t>
      </w:r>
      <w:r>
        <w:rPr>
          <w:rFonts w:hint="eastAsia" w:ascii="仿宋" w:hAnsi="仿宋" w:eastAsia="仿宋" w:cs="仿宋"/>
          <w:spacing w:val="6"/>
          <w:sz w:val="24"/>
        </w:rPr>
        <w:t>具体要求详见</w:t>
      </w:r>
      <w:r>
        <w:rPr>
          <w:rFonts w:hint="eastAsia" w:ascii="仿宋" w:hAnsi="仿宋" w:eastAsia="仿宋" w:cs="仿宋"/>
          <w:spacing w:val="6"/>
          <w:sz w:val="24"/>
          <w:lang w:eastAsia="zh-CN"/>
        </w:rPr>
        <w:t>磋商文件</w:t>
      </w:r>
      <w:r>
        <w:rPr>
          <w:rFonts w:hint="eastAsia" w:ascii="仿宋" w:hAnsi="仿宋" w:eastAsia="仿宋" w:cs="仿宋"/>
          <w:spacing w:val="6"/>
          <w:sz w:val="24"/>
        </w:rPr>
        <w:t>第四部分：“采购项目技术服务及其他商务要求”。</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应当具备的资格条件要求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2.1具有独立承担民事责任能力；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2.2具有良好的商业信誉和健全的财务会计制度；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2.3具有履行合同所必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2.4有依法缴纳税收和社会保障资金的良好记录；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2.5参加</w:t>
      </w:r>
      <w:r>
        <w:rPr>
          <w:rFonts w:hint="eastAsia" w:ascii="仿宋" w:hAnsi="仿宋" w:eastAsia="仿宋" w:cs="仿宋"/>
          <w:b w:val="0"/>
          <w:bCs w:val="0"/>
          <w:spacing w:val="6"/>
          <w:sz w:val="24"/>
          <w:lang w:eastAsia="zh-CN"/>
        </w:rPr>
        <w:t>本次</w:t>
      </w:r>
      <w:r>
        <w:rPr>
          <w:rFonts w:hint="eastAsia" w:ascii="仿宋" w:hAnsi="仿宋" w:eastAsia="仿宋" w:cs="仿宋"/>
          <w:b w:val="0"/>
          <w:bCs w:val="0"/>
          <w:spacing w:val="6"/>
          <w:sz w:val="24"/>
        </w:rPr>
        <w:t>磋商活动前三年内，在经营活动中没有重大违法记录；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2.6授权参加本次磋商活动的供应商代表证明材料；</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2.7本项目不接受联合体磋商。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3.1获取时间：</w:t>
      </w:r>
      <w:r>
        <w:rPr>
          <w:rFonts w:hint="eastAsia" w:ascii="仿宋" w:hAnsi="仿宋" w:eastAsia="仿宋" w:cs="仿宋"/>
          <w:spacing w:val="6"/>
          <w:sz w:val="24"/>
          <w:u w:val="single"/>
        </w:rPr>
        <w:t>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1</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9</w:t>
      </w:r>
      <w:r>
        <w:rPr>
          <w:rFonts w:hint="eastAsia" w:ascii="仿宋" w:hAnsi="仿宋" w:eastAsia="仿宋" w:cs="仿宋"/>
          <w:spacing w:val="6"/>
          <w:sz w:val="24"/>
          <w:u w:val="single"/>
        </w:rPr>
        <w:t>日09:00至202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1</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14</w:t>
      </w:r>
      <w:r>
        <w:rPr>
          <w:rFonts w:hint="eastAsia" w:ascii="仿宋" w:hAnsi="仿宋" w:eastAsia="仿宋" w:cs="仿宋"/>
          <w:spacing w:val="6"/>
          <w:sz w:val="24"/>
          <w:u w:val="single"/>
        </w:rPr>
        <w:t>日17:00</w:t>
      </w:r>
      <w:r>
        <w:rPr>
          <w:rFonts w:hint="eastAsia" w:ascii="仿宋" w:hAnsi="仿宋" w:eastAsia="仿宋" w:cs="仿宋"/>
          <w:spacing w:val="6"/>
          <w:sz w:val="24"/>
        </w:rPr>
        <w:t>（北京时间，法定节假日除外），</w:t>
      </w:r>
      <w:r>
        <w:rPr>
          <w:rFonts w:hint="eastAsia" w:ascii="仿宋" w:hAnsi="仿宋" w:eastAsia="仿宋" w:cs="仿宋"/>
          <w:sz w:val="24"/>
          <w:lang w:val="en-US" w:eastAsia="zh-CN"/>
        </w:rPr>
        <w:t>在内江市第二人民医院总务科现场获取</w:t>
      </w:r>
      <w:r>
        <w:rPr>
          <w:rFonts w:hint="eastAsia" w:ascii="仿宋" w:hAnsi="仿宋" w:eastAsia="仿宋" w:cs="仿宋"/>
          <w:sz w:val="24"/>
        </w:rPr>
        <w:t>。</w:t>
      </w:r>
    </w:p>
    <w:p>
      <w:pPr>
        <w:snapToGrid w:val="0"/>
        <w:spacing w:line="480" w:lineRule="exact"/>
        <w:ind w:firstLine="444" w:firstLineChars="198"/>
        <w:textAlignment w:val="baseline"/>
        <w:rPr>
          <w:rFonts w:hint="eastAsia" w:ascii="仿宋" w:hAnsi="仿宋" w:eastAsia="仿宋" w:cs="仿宋"/>
          <w:sz w:val="24"/>
        </w:rPr>
      </w:pPr>
      <w:r>
        <w:rPr>
          <w:rFonts w:hint="eastAsia" w:ascii="仿宋" w:hAnsi="仿宋" w:eastAsia="仿宋" w:cs="仿宋"/>
          <w:sz w:val="24"/>
        </w:rPr>
        <w:t>3.2报名方式：</w:t>
      </w:r>
    </w:p>
    <w:p>
      <w:pPr>
        <w:snapToGrid w:val="0"/>
        <w:spacing w:line="480" w:lineRule="exact"/>
        <w:ind w:firstLine="540" w:firstLineChars="241"/>
        <w:textAlignment w:val="baseline"/>
        <w:rPr>
          <w:rFonts w:hint="default"/>
          <w:lang w:val="en-US"/>
        </w:rPr>
      </w:pPr>
      <w:r>
        <w:rPr>
          <w:rStyle w:val="42"/>
          <w:rFonts w:hint="eastAsia" w:ascii="仿宋" w:hAnsi="仿宋" w:eastAsia="仿宋" w:cs="仿宋"/>
          <w:sz w:val="24"/>
        </w:rPr>
        <w:t>现场报名：获取磋商文件时，经办人员必须提交以下资料：①供应商报名登记表（详见附件）；②供应商为法人或者其他组织的，只需提供单位介绍信（加盖单位公章）、经办人身份证明（加盖单位公章）。</w:t>
      </w:r>
    </w:p>
    <w:p>
      <w:pPr>
        <w:snapToGrid w:val="0"/>
        <w:spacing w:line="360" w:lineRule="auto"/>
        <w:ind w:firstLine="472" w:firstLineChars="200"/>
        <w:rPr>
          <w:rFonts w:hint="eastAsia" w:ascii="仿宋" w:hAnsi="仿宋" w:eastAsia="仿宋" w:cs="仿宋"/>
          <w:spacing w:val="-4"/>
          <w:sz w:val="24"/>
          <w:u w:val="single"/>
        </w:rPr>
      </w:pPr>
      <w:r>
        <w:rPr>
          <w:rFonts w:hint="eastAsia" w:ascii="仿宋" w:hAnsi="仿宋" w:eastAsia="仿宋" w:cs="仿宋"/>
          <w:b/>
          <w:bCs/>
          <w:spacing w:val="6"/>
          <w:sz w:val="24"/>
        </w:rPr>
        <w:t>四、递交响应文件截止时间和开标时间：</w:t>
      </w:r>
      <w:r>
        <w:rPr>
          <w:rFonts w:hint="eastAsia" w:ascii="仿宋" w:hAnsi="仿宋" w:eastAsia="仿宋" w:cs="仿宋"/>
          <w:spacing w:val="-4"/>
          <w:sz w:val="24"/>
          <w:u w:val="single"/>
        </w:rPr>
        <w:t>202</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年</w:t>
      </w:r>
      <w:r>
        <w:rPr>
          <w:rFonts w:hint="eastAsia" w:ascii="仿宋" w:hAnsi="仿宋" w:eastAsia="仿宋" w:cs="仿宋"/>
          <w:spacing w:val="-4"/>
          <w:sz w:val="24"/>
          <w:u w:val="single"/>
          <w:lang w:val="en-US" w:eastAsia="zh-CN"/>
        </w:rPr>
        <w:t>1</w:t>
      </w:r>
      <w:r>
        <w:rPr>
          <w:rFonts w:hint="eastAsia" w:ascii="仿宋" w:hAnsi="仿宋" w:eastAsia="仿宋" w:cs="仿宋"/>
          <w:spacing w:val="-4"/>
          <w:sz w:val="24"/>
          <w:u w:val="single"/>
        </w:rPr>
        <w:t>月</w:t>
      </w:r>
      <w:r>
        <w:rPr>
          <w:rFonts w:hint="eastAsia" w:ascii="仿宋" w:hAnsi="仿宋" w:eastAsia="仿宋" w:cs="仿宋"/>
          <w:spacing w:val="-4"/>
          <w:sz w:val="24"/>
          <w:u w:val="single"/>
          <w:lang w:val="en-US" w:eastAsia="zh-CN"/>
        </w:rPr>
        <w:t>15</w:t>
      </w:r>
      <w:r>
        <w:rPr>
          <w:rFonts w:hint="eastAsia" w:ascii="仿宋" w:hAnsi="仿宋" w:eastAsia="仿宋" w:cs="仿宋"/>
          <w:spacing w:val="-4"/>
          <w:sz w:val="24"/>
          <w:u w:val="single"/>
        </w:rPr>
        <w:t>日9时</w:t>
      </w:r>
      <w:r>
        <w:rPr>
          <w:rFonts w:hint="eastAsia" w:ascii="仿宋" w:hAnsi="仿宋" w:eastAsia="仿宋" w:cs="仿宋"/>
          <w:spacing w:val="-4"/>
          <w:sz w:val="24"/>
          <w:u w:val="single"/>
          <w:lang w:val="en-US" w:eastAsia="zh-CN"/>
        </w:rPr>
        <w:t>0</w:t>
      </w:r>
      <w:r>
        <w:rPr>
          <w:rFonts w:hint="eastAsia" w:ascii="仿宋" w:hAnsi="仿宋" w:eastAsia="仿宋" w:cs="仿宋"/>
          <w:spacing w:val="-4"/>
          <w:sz w:val="24"/>
          <w:u w:val="single"/>
        </w:rPr>
        <w:t>0分(北京时间)。</w:t>
      </w:r>
    </w:p>
    <w:p>
      <w:pPr>
        <w:snapToGrid w:val="0"/>
        <w:spacing w:line="360" w:lineRule="auto"/>
        <w:ind w:left="54" w:leftChars="28" w:firstLine="432" w:firstLineChars="200"/>
        <w:rPr>
          <w:rFonts w:hint="eastAsia" w:ascii="仿宋" w:hAnsi="仿宋" w:eastAsia="仿宋" w:cs="仿宋"/>
          <w:spacing w:val="6"/>
          <w:sz w:val="24"/>
        </w:rPr>
      </w:pPr>
      <w:r>
        <w:rPr>
          <w:rFonts w:hint="eastAsia" w:ascii="仿宋" w:hAnsi="仿宋" w:eastAsia="仿宋" w:cs="仿宋"/>
          <w:spacing w:val="-4"/>
          <w:sz w:val="24"/>
        </w:rPr>
        <w:t>请在规定的时间内递交至</w:t>
      </w:r>
      <w:r>
        <w:rPr>
          <w:rFonts w:hint="eastAsia" w:ascii="仿宋" w:hAnsi="仿宋" w:eastAsia="仿宋" w:cs="仿宋"/>
          <w:b/>
          <w:sz w:val="24"/>
          <w:u w:val="single"/>
        </w:rPr>
        <w:t>内江市第二人民医院</w:t>
      </w:r>
      <w:r>
        <w:rPr>
          <w:rFonts w:hint="eastAsia" w:ascii="仿宋" w:hAnsi="仿宋" w:eastAsia="仿宋" w:cs="仿宋"/>
          <w:b/>
          <w:sz w:val="24"/>
          <w:u w:val="single"/>
          <w:lang w:val="en-US" w:eastAsia="zh-CN"/>
        </w:rPr>
        <w:t>总务科</w:t>
      </w:r>
      <w:r>
        <w:rPr>
          <w:rFonts w:hint="eastAsia" w:ascii="仿宋" w:hAnsi="仿宋" w:eastAsia="仿宋" w:cs="仿宋"/>
          <w:spacing w:val="-4"/>
          <w:sz w:val="24"/>
        </w:rPr>
        <w:t>，</w:t>
      </w:r>
      <w:r>
        <w:rPr>
          <w:rFonts w:hint="eastAsia" w:ascii="仿宋" w:hAnsi="仿宋" w:eastAsia="仿宋" w:cs="仿宋"/>
          <w:spacing w:val="6"/>
          <w:sz w:val="24"/>
        </w:rPr>
        <w:t>逾期送达或不符合磋商文件相关规定的响应文件恕不接受。本次磋商不接受邮寄的响应文件。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五、联系人及联系电话</w:t>
      </w:r>
    </w:p>
    <w:p>
      <w:pPr>
        <w:pStyle w:val="56"/>
        <w:snapToGrid w:val="0"/>
        <w:spacing w:beforeLines="0" w:afterLines="0"/>
        <w:ind w:firstLine="431"/>
        <w:rPr>
          <w:rFonts w:hint="eastAsia" w:ascii="仿宋" w:hAnsi="仿宋" w:eastAsia="仿宋" w:cs="仿宋"/>
          <w:spacing w:val="-4"/>
          <w:kern w:val="2"/>
          <w:sz w:val="24"/>
        </w:rPr>
      </w:pPr>
      <w:bookmarkStart w:id="5" w:name="_Toc23987"/>
      <w:bookmarkStart w:id="6" w:name="_Toc10299_WPSOffice_Level1"/>
      <w:bookmarkStart w:id="7" w:name="_Toc19342_WPSOffice_Level1"/>
      <w:bookmarkStart w:id="8" w:name="_Toc6878"/>
      <w:bookmarkStart w:id="9" w:name="_Toc4948_WPSOffice_Level1"/>
      <w:bookmarkStart w:id="10" w:name="_Toc18859_WPSOffice_Level1"/>
      <w:r>
        <w:rPr>
          <w:rFonts w:hint="eastAsia" w:ascii="仿宋" w:hAnsi="仿宋" w:eastAsia="仿宋" w:cs="仿宋"/>
          <w:spacing w:val="-4"/>
          <w:kern w:val="2"/>
          <w:sz w:val="24"/>
        </w:rPr>
        <w:t>5.1采购人：内江市第二人民医院</w:t>
      </w:r>
    </w:p>
    <w:p>
      <w:pPr>
        <w:pStyle w:val="56"/>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地  址：</w:t>
      </w:r>
      <w:r>
        <w:rPr>
          <w:rFonts w:hint="eastAsia" w:ascii="仿宋" w:hAnsi="仿宋" w:eastAsia="仿宋" w:cs="仿宋"/>
          <w:bCs/>
          <w:sz w:val="24"/>
        </w:rPr>
        <w:t>内江市东兴区新江路470号</w:t>
      </w:r>
    </w:p>
    <w:p>
      <w:pPr>
        <w:pStyle w:val="56"/>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联系人：</w:t>
      </w:r>
      <w:r>
        <w:rPr>
          <w:rFonts w:hint="eastAsia" w:ascii="仿宋" w:hAnsi="仿宋" w:eastAsia="仿宋" w:cs="仿宋"/>
          <w:spacing w:val="-4"/>
          <w:kern w:val="2"/>
          <w:sz w:val="24"/>
          <w:lang w:val="en-US" w:eastAsia="zh-CN"/>
        </w:rPr>
        <w:t>杨</w:t>
      </w:r>
      <w:r>
        <w:rPr>
          <w:rFonts w:hint="eastAsia" w:ascii="仿宋" w:hAnsi="仿宋" w:eastAsia="仿宋" w:cs="仿宋"/>
          <w:spacing w:val="-4"/>
          <w:kern w:val="2"/>
          <w:sz w:val="24"/>
        </w:rPr>
        <w:t>老师</w:t>
      </w:r>
    </w:p>
    <w:p>
      <w:pPr>
        <w:pStyle w:val="56"/>
        <w:snapToGrid w:val="0"/>
        <w:spacing w:beforeLines="0" w:afterLines="0"/>
        <w:ind w:firstLine="431"/>
        <w:rPr>
          <w:rFonts w:hint="eastAsia" w:ascii="仿宋" w:hAnsi="仿宋" w:eastAsia="仿宋" w:cs="Times New Roman"/>
          <w:sz w:val="24"/>
          <w:lang w:val="en-US" w:eastAsia="zh-CN"/>
        </w:rPr>
      </w:pPr>
      <w:r>
        <w:rPr>
          <w:rFonts w:hint="eastAsia" w:ascii="仿宋" w:hAnsi="仿宋" w:eastAsia="仿宋" w:cs="仿宋"/>
          <w:spacing w:val="-4"/>
          <w:kern w:val="2"/>
          <w:sz w:val="24"/>
        </w:rPr>
        <w:t>电  话：</w:t>
      </w:r>
      <w:r>
        <w:rPr>
          <w:rFonts w:hint="eastAsia" w:ascii="仿宋" w:hAnsi="仿宋" w:eastAsia="仿宋" w:cs="Times New Roman"/>
          <w:sz w:val="24"/>
        </w:rPr>
        <w:t>0832-238020</w:t>
      </w:r>
      <w:r>
        <w:rPr>
          <w:rFonts w:hint="eastAsia" w:ascii="仿宋" w:hAnsi="仿宋" w:eastAsia="仿宋" w:cs="Times New Roman"/>
          <w:sz w:val="24"/>
          <w:lang w:val="en-US" w:eastAsia="zh-CN"/>
        </w:rPr>
        <w:t>5</w:t>
      </w:r>
    </w:p>
    <w:p>
      <w:pPr>
        <w:pStyle w:val="56"/>
        <w:snapToGrid w:val="0"/>
        <w:spacing w:beforeLines="0" w:afterLines="0"/>
        <w:ind w:firstLine="431"/>
        <w:rPr>
          <w:rFonts w:hint="eastAsia" w:ascii="仿宋" w:hAnsi="仿宋" w:eastAsia="仿宋" w:cs="Times New Roman"/>
          <w:sz w:val="24"/>
          <w:lang w:val="en-US" w:eastAsia="zh-CN"/>
        </w:rPr>
      </w:pPr>
    </w:p>
    <w:p>
      <w:pPr>
        <w:pStyle w:val="56"/>
        <w:snapToGrid w:val="0"/>
        <w:spacing w:beforeLines="0" w:afterLines="0"/>
        <w:ind w:firstLine="431"/>
        <w:rPr>
          <w:rFonts w:hint="eastAsia" w:ascii="仿宋" w:hAnsi="仿宋" w:eastAsia="仿宋" w:cs="Times New Roman"/>
          <w:sz w:val="24"/>
          <w:lang w:val="en-US" w:eastAsia="zh-CN"/>
        </w:rPr>
      </w:pPr>
    </w:p>
    <w:p>
      <w:pPr>
        <w:pStyle w:val="56"/>
        <w:snapToGrid w:val="0"/>
        <w:spacing w:beforeLines="0" w:afterLines="0"/>
        <w:ind w:firstLine="431"/>
        <w:rPr>
          <w:rFonts w:hint="eastAsia" w:ascii="仿宋" w:hAnsi="仿宋" w:eastAsia="仿宋" w:cs="Times New Roman"/>
          <w:sz w:val="24"/>
          <w:lang w:val="en-US" w:eastAsia="zh-CN"/>
        </w:rPr>
      </w:pPr>
    </w:p>
    <w:p>
      <w:pPr>
        <w:pStyle w:val="56"/>
        <w:snapToGrid w:val="0"/>
        <w:spacing w:beforeLines="0" w:afterLines="0"/>
        <w:ind w:firstLine="431"/>
        <w:jc w:val="right"/>
        <w:rPr>
          <w:rFonts w:hint="default" w:ascii="仿宋" w:hAnsi="仿宋" w:eastAsia="仿宋" w:cs="Times New Roman"/>
          <w:sz w:val="24"/>
          <w:lang w:val="en-US" w:eastAsia="zh-CN"/>
        </w:rPr>
      </w:pPr>
      <w:r>
        <w:rPr>
          <w:rFonts w:hint="eastAsia" w:ascii="仿宋" w:hAnsi="仿宋" w:eastAsia="仿宋" w:cs="Times New Roman"/>
          <w:sz w:val="24"/>
          <w:lang w:val="en-US" w:eastAsia="zh-CN"/>
        </w:rPr>
        <w:t>2024年1月8日</w:t>
      </w:r>
    </w:p>
    <w:p>
      <w:pPr>
        <w:pStyle w:val="3"/>
        <w:pageBreakBefore/>
        <w:snapToGrid w:val="0"/>
        <w:spacing w:before="0" w:after="0" w:line="360" w:lineRule="auto"/>
        <w:jc w:val="center"/>
        <w:rPr>
          <w:rFonts w:hint="eastAsia" w:ascii="仿宋" w:hAnsi="仿宋" w:eastAsia="仿宋" w:cs="仿宋"/>
          <w:bCs w:val="0"/>
          <w:sz w:val="32"/>
          <w:szCs w:val="32"/>
        </w:rPr>
      </w:pPr>
      <w:bookmarkStart w:id="11" w:name="_Toc5505"/>
      <w:r>
        <w:rPr>
          <w:rFonts w:hint="eastAsia" w:ascii="仿宋" w:hAnsi="仿宋" w:eastAsia="仿宋" w:cs="仿宋"/>
          <w:bCs w:val="0"/>
          <w:sz w:val="32"/>
          <w:szCs w:val="32"/>
        </w:rPr>
        <w:t>第二部分  供应商须知</w:t>
      </w:r>
      <w:bookmarkEnd w:id="5"/>
      <w:bookmarkEnd w:id="6"/>
      <w:bookmarkEnd w:id="7"/>
      <w:bookmarkEnd w:id="8"/>
      <w:bookmarkEnd w:id="9"/>
      <w:bookmarkEnd w:id="10"/>
      <w:bookmarkEnd w:id="11"/>
    </w:p>
    <w:p>
      <w:pPr>
        <w:snapToGrid w:val="0"/>
        <w:spacing w:line="360" w:lineRule="auto"/>
        <w:ind w:left="-720" w:firstLine="1180" w:firstLineChars="500"/>
        <w:rPr>
          <w:rFonts w:hint="eastAsia" w:ascii="仿宋" w:hAnsi="仿宋" w:eastAsia="仿宋" w:cs="仿宋"/>
          <w:b/>
          <w:bCs/>
          <w:spacing w:val="6"/>
          <w:sz w:val="24"/>
        </w:rPr>
      </w:pPr>
      <w:bookmarkStart w:id="12" w:name="_Toc24502_WPSOffice_Level2"/>
      <w:bookmarkStart w:id="13" w:name="_Toc1093_WPSOffice_Level2"/>
      <w:r>
        <w:rPr>
          <w:rFonts w:hint="eastAsia" w:ascii="仿宋" w:hAnsi="仿宋" w:eastAsia="仿宋" w:cs="仿宋"/>
          <w:b/>
          <w:bCs/>
          <w:spacing w:val="6"/>
          <w:sz w:val="24"/>
        </w:rPr>
        <w:t>一、适用范围</w:t>
      </w:r>
      <w:bookmarkEnd w:id="12"/>
      <w:bookmarkEnd w:id="1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本磋商文件的最终解释权归磋商人所有。</w:t>
      </w:r>
    </w:p>
    <w:p>
      <w:pPr>
        <w:snapToGrid w:val="0"/>
        <w:spacing w:line="360" w:lineRule="auto"/>
        <w:ind w:firstLine="472" w:firstLineChars="200"/>
        <w:rPr>
          <w:rFonts w:hint="eastAsia" w:ascii="仿宋" w:hAnsi="仿宋" w:eastAsia="仿宋" w:cs="仿宋"/>
          <w:b/>
          <w:bCs/>
          <w:spacing w:val="6"/>
          <w:sz w:val="24"/>
        </w:rPr>
      </w:pPr>
      <w:bookmarkStart w:id="14" w:name="_Toc5378_WPSOffice_Level2"/>
      <w:bookmarkStart w:id="15" w:name="_Toc30663_WPSOffice_Level2"/>
      <w:r>
        <w:rPr>
          <w:rFonts w:hint="eastAsia" w:ascii="仿宋" w:hAnsi="仿宋" w:eastAsia="仿宋" w:cs="仿宋"/>
          <w:b/>
          <w:bCs/>
          <w:spacing w:val="6"/>
          <w:sz w:val="24"/>
        </w:rPr>
        <w:t>二、定义</w:t>
      </w:r>
      <w:bookmarkEnd w:id="14"/>
      <w:bookmarkEnd w:id="1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2.1磋商：系指磋商人事先公布条件和要求，特定数量的法人或者其他经济组织参加项目竞争，磋商人通过比较、选择和确定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2.2磋商人（采购人）：是提出磋商项目的法人或者其他组织。本次磋商人是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2.3</w:t>
      </w:r>
      <w:r>
        <w:rPr>
          <w:rFonts w:hint="eastAsia" w:ascii="仿宋" w:hAnsi="仿宋" w:eastAsia="仿宋" w:cs="仿宋"/>
          <w:spacing w:val="6"/>
          <w:sz w:val="24"/>
          <w:lang w:eastAsia="zh-CN"/>
        </w:rPr>
        <w:t>磋商文件</w:t>
      </w:r>
      <w:r>
        <w:rPr>
          <w:rFonts w:hint="eastAsia" w:ascii="仿宋" w:hAnsi="仿宋" w:eastAsia="仿宋" w:cs="仿宋"/>
          <w:spacing w:val="6"/>
          <w:sz w:val="24"/>
        </w:rPr>
        <w:t>：由磋商人按照有关规定，对供应商参加该项目磋商提出的条件和要求，包括磋商的具体项目、对供应商的条件和资质要求、评审方式等内容。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2.4供应商：是响应磋商要求、参加磋商竞争为磋商人提供服务或货物的供应商。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2.5响应文件：是指供应商按照</w:t>
      </w:r>
      <w:r>
        <w:rPr>
          <w:rFonts w:hint="eastAsia" w:ascii="仿宋" w:hAnsi="仿宋" w:eastAsia="仿宋" w:cs="仿宋"/>
          <w:spacing w:val="6"/>
          <w:sz w:val="24"/>
          <w:lang w:eastAsia="zh-CN"/>
        </w:rPr>
        <w:t>磋商文件</w:t>
      </w:r>
      <w:r>
        <w:rPr>
          <w:rFonts w:hint="eastAsia" w:ascii="仿宋" w:hAnsi="仿宋" w:eastAsia="仿宋" w:cs="仿宋"/>
          <w:spacing w:val="6"/>
          <w:sz w:val="24"/>
        </w:rPr>
        <w:t>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2.6确定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供应商：是指评选委员会按照规定的程序和要求，对供应商进行评选，以最终确定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b/>
          <w:bCs/>
          <w:spacing w:val="6"/>
          <w:sz w:val="24"/>
        </w:rPr>
      </w:pPr>
      <w:bookmarkStart w:id="16" w:name="_Toc30186_WPSOffice_Level2"/>
      <w:bookmarkStart w:id="17" w:name="_Toc14254_WPSOffice_Level2"/>
      <w:r>
        <w:rPr>
          <w:rFonts w:hint="eastAsia" w:ascii="仿宋" w:hAnsi="仿宋" w:eastAsia="仿宋" w:cs="仿宋"/>
          <w:b/>
          <w:bCs/>
          <w:spacing w:val="6"/>
          <w:sz w:val="24"/>
        </w:rPr>
        <w:t>三、供应商的条件</w:t>
      </w:r>
      <w:bookmarkEnd w:id="16"/>
      <w:bookmarkEnd w:id="17"/>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3.2按照磋商文件“磋商邀请”中第三条规定获取了磋商文件</w:t>
      </w:r>
      <w:bookmarkStart w:id="18" w:name="_Toc18161_WPSOffice_Level2"/>
      <w:bookmarkStart w:id="19" w:name="_Toc18101_WPSOffice_Level2"/>
      <w:r>
        <w:rPr>
          <w:rFonts w:hint="eastAsia" w:ascii="仿宋" w:hAnsi="仿宋" w:eastAsia="仿宋" w:cs="仿宋"/>
          <w:spacing w:val="6"/>
          <w:sz w:val="24"/>
        </w:rPr>
        <w:t>。</w:t>
      </w:r>
    </w:p>
    <w:bookmarkEnd w:id="18"/>
    <w:bookmarkEnd w:id="19"/>
    <w:p>
      <w:pPr>
        <w:snapToGrid w:val="0"/>
        <w:spacing w:line="360" w:lineRule="auto"/>
        <w:ind w:firstLine="472" w:firstLineChars="200"/>
        <w:rPr>
          <w:rFonts w:hint="eastAsia" w:ascii="仿宋" w:hAnsi="仿宋" w:eastAsia="仿宋" w:cs="仿宋"/>
          <w:b/>
          <w:bCs/>
          <w:spacing w:val="6"/>
          <w:sz w:val="24"/>
        </w:rPr>
      </w:pPr>
      <w:bookmarkStart w:id="20" w:name="_Toc4974_WPSOffice_Level2"/>
      <w:bookmarkStart w:id="21" w:name="_Toc22072_WPSOffice_Level2"/>
      <w:r>
        <w:rPr>
          <w:rFonts w:hint="eastAsia" w:ascii="仿宋" w:hAnsi="仿宋" w:eastAsia="仿宋" w:cs="仿宋"/>
          <w:b/>
          <w:bCs/>
          <w:spacing w:val="6"/>
          <w:sz w:val="24"/>
        </w:rPr>
        <w:t>四、响应文件</w:t>
      </w:r>
      <w:bookmarkEnd w:id="20"/>
      <w:bookmarkEnd w:id="21"/>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4.1响应文件的语言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供应商提交的响应文件以及供应商与内江市第二人民医院就有关磋商活动的所有来往书面文件均须使用中文。</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4.2 </w:t>
      </w:r>
      <w:r>
        <w:rPr>
          <w:rFonts w:hint="eastAsia" w:ascii="仿宋" w:hAnsi="仿宋" w:eastAsia="仿宋" w:cs="仿宋"/>
          <w:sz w:val="24"/>
        </w:rPr>
        <w:t>本项目响应有效期为递交响应文件截止时间届满后</w:t>
      </w:r>
      <w:r>
        <w:rPr>
          <w:rFonts w:hint="eastAsia" w:ascii="仿宋" w:hAnsi="仿宋" w:eastAsia="仿宋" w:cs="仿宋"/>
          <w:b/>
          <w:bCs/>
          <w:sz w:val="24"/>
          <w:u w:val="single"/>
        </w:rPr>
        <w:t xml:space="preserve">90 </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4.3联合体</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 响应文件的组成：响应文件一式</w:t>
      </w:r>
      <w:r>
        <w:rPr>
          <w:rFonts w:hint="eastAsia" w:ascii="仿宋" w:hAnsi="仿宋" w:eastAsia="仿宋" w:cs="仿宋"/>
          <w:b/>
          <w:bCs/>
          <w:spacing w:val="6"/>
          <w:sz w:val="24"/>
          <w:lang w:val="en-US" w:eastAsia="zh-CN"/>
        </w:rPr>
        <w:t>三</w:t>
      </w:r>
      <w:r>
        <w:rPr>
          <w:rFonts w:hint="eastAsia" w:ascii="仿宋" w:hAnsi="仿宋" w:eastAsia="仿宋" w:cs="仿宋"/>
          <w:spacing w:val="6"/>
          <w:sz w:val="24"/>
        </w:rPr>
        <w:t>份，每份须包含资格性响应部分、技术服务响应部分、报价响应部分。</w:t>
      </w:r>
    </w:p>
    <w:p>
      <w:pPr>
        <w:snapToGrid w:val="0"/>
        <w:spacing w:line="360" w:lineRule="auto"/>
        <w:ind w:firstLine="472" w:firstLineChars="200"/>
        <w:rPr>
          <w:rFonts w:hint="eastAsia" w:ascii="仿宋" w:hAnsi="仿宋" w:eastAsia="仿宋" w:cs="仿宋"/>
          <w:b/>
          <w:bCs/>
          <w:spacing w:val="6"/>
          <w:sz w:val="24"/>
        </w:rPr>
      </w:pPr>
      <w:bookmarkStart w:id="22" w:name="_Toc25349_WPSOffice_Level2"/>
      <w:bookmarkStart w:id="23" w:name="_Toc13121_WPSOffice_Level2"/>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4.4.1 资格性响应文件部分提供的资格证明材料：</w:t>
      </w:r>
      <w:bookmarkEnd w:id="22"/>
      <w:bookmarkEnd w:id="2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（1）磋商申请书（格式2）；</w:t>
      </w:r>
    </w:p>
    <w:p>
      <w:pPr>
        <w:pStyle w:val="21"/>
        <w:spacing w:before="0" w:beforeAutospacing="0" w:after="0" w:afterAutospacing="0"/>
        <w:ind w:firstLine="467" w:firstLineChars="198"/>
        <w:rPr>
          <w:rFonts w:hint="eastAsia" w:ascii="仿宋" w:hAnsi="仿宋" w:eastAsia="仿宋" w:cs="仿宋"/>
          <w:spacing w:val="6"/>
        </w:rPr>
      </w:pPr>
      <w:r>
        <w:rPr>
          <w:rFonts w:hint="eastAsia" w:ascii="仿宋" w:hAnsi="仿宋" w:eastAsia="仿宋" w:cs="仿宋"/>
          <w:spacing w:val="6"/>
        </w:rPr>
        <w:t>（2）</w:t>
      </w:r>
      <w:r>
        <w:rPr>
          <w:rFonts w:hint="eastAsia" w:ascii="仿宋" w:hAnsi="仿宋" w:eastAsia="仿宋" w:cs="仿宋"/>
          <w:spacing w:val="6"/>
          <w:lang w:eastAsia="zh-CN"/>
        </w:rPr>
        <w:t>具有独立承担民事责任的能力：</w:t>
      </w:r>
      <w:r>
        <w:rPr>
          <w:rFonts w:hint="eastAsia" w:ascii="仿宋" w:hAnsi="仿宋" w:eastAsia="仿宋" w:cs="仿宋"/>
          <w:spacing w:val="6"/>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lang w:eastAsia="zh-CN"/>
        </w:rPr>
        <w:t>以上①-</w:t>
      </w:r>
      <w:r>
        <w:rPr>
          <w:rFonts w:hint="eastAsia" w:ascii="仿宋" w:hAnsi="仿宋" w:eastAsia="仿宋" w:cs="仿宋"/>
          <w:spacing w:val="6"/>
        </w:rPr>
        <w:t>④</w:t>
      </w:r>
      <w:r>
        <w:rPr>
          <w:rFonts w:hint="eastAsia" w:ascii="仿宋" w:hAnsi="仿宋" w:eastAsia="仿宋" w:cs="仿宋"/>
          <w:spacing w:val="6"/>
          <w:sz w:val="24"/>
          <w:lang w:eastAsia="zh-CN"/>
        </w:rPr>
        <w:t>项任意提供一项作为证明材料并加盖供应商单位公章。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（3）具有履行合同所必须的设备和专业技术能力的证明材料：提供供应商能力情况说明或同等效力的其他证明材料或</w:t>
      </w:r>
      <w:r>
        <w:rPr>
          <w:rFonts w:hint="eastAsia" w:ascii="仿宋" w:hAnsi="仿宋" w:eastAsia="仿宋" w:cs="仿宋"/>
          <w:spacing w:val="6"/>
          <w:sz w:val="24"/>
          <w:lang w:val="en-US" w:eastAsia="zh-CN"/>
        </w:rPr>
        <w:t>承诺函</w:t>
      </w:r>
      <w:r>
        <w:rPr>
          <w:rFonts w:hint="eastAsia" w:ascii="仿宋" w:hAnsi="仿宋" w:eastAsia="仿宋" w:cs="仿宋"/>
          <w:spacing w:val="6"/>
          <w:sz w:val="24"/>
        </w:rPr>
        <w:t>（格式11）。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（4）供应商须提供依法缴纳税收和社会保障资金的承诺函原件（格式5）或者近三个月依法缴纳税收和社会保障资金的证明材料复印件；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（5）体现健全的财务会计制度的证明材料：承诺书原件(格式9）；</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（6）响应函原件（格式3）；</w:t>
      </w:r>
    </w:p>
    <w:p>
      <w:pPr>
        <w:adjustRightInd w:val="0"/>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（7）承诺函原件（格式4）；</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（8）法定代表人/单位负责人身份证复印件；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（9）法定代表人/单位负责人授权委托书（格式6）原件和授权代表身份证复印件（供应商代表为非法定代表人时提供）。</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注：1、提供的证明材料是资格性审查的主要依据，响应文件所需提供的全部证明材料内容均须有效，未通过审查者做无效响应文件处理。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24" w:name="_Toc10601_WPSOffice_Level2"/>
      <w:bookmarkStart w:id="25" w:name="_Toc1471_WPSOffice_Level2"/>
      <w:r>
        <w:rPr>
          <w:rFonts w:hint="eastAsia" w:ascii="仿宋" w:hAnsi="仿宋" w:eastAsia="仿宋" w:cs="仿宋"/>
          <w:b/>
          <w:bCs/>
          <w:spacing w:val="6"/>
          <w:sz w:val="24"/>
        </w:rPr>
        <w:t>4.4.2 技术服务性响应文件部分，包括但不限于以下内容：</w:t>
      </w:r>
      <w:bookmarkEnd w:id="24"/>
      <w:bookmarkEnd w:id="2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（1）供应商简介</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（2）服务要求应答表（格式7）；</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（3）商务偏离表（格式8）；</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（4）能够提供的相关承诺或证明材料；</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（5）其他有利于采购人或者供应商认为需要提供的文件和资料。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注：供应商承诺给予招标采购单位的各种优惠条件（优惠条件事项不能包括磋商项目本身所包含的事项。供应商不能以“赠送、赠予”等任何名义提供货物和服务以规避响应文件的约束。否则，供应商提供的响应文件将作为无效响应处理，即使成交也将取消成交资格）。</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4.4.3.1供应商报价超过磋商文件规定的采购预算（或最高限价）或者相关报价不符合磋商文件其他的报价规定的，应按照无效响应文件处理。</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4.4.3.2供应商的报价是供应商响应本项目要求的全部工作内容的价格体现，包括供应商完成本项目所需的一切费用。</w:t>
      </w:r>
    </w:p>
    <w:p>
      <w:pPr>
        <w:pStyle w:val="36"/>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最终报价需要现场填写，加盖手印或公章。</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4.4.4.4</w:t>
      </w:r>
      <w:r>
        <w:rPr>
          <w:rFonts w:hint="eastAsia" w:ascii="仿宋" w:hAnsi="仿宋" w:eastAsia="仿宋" w:cs="仿宋"/>
          <w:color w:val="auto"/>
          <w:lang w:val="en-US" w:eastAsia="zh-CN"/>
        </w:rPr>
        <w:t xml:space="preserve"> </w:t>
      </w:r>
      <w:r>
        <w:rPr>
          <w:rFonts w:hint="eastAsia" w:ascii="仿宋" w:hAnsi="仿宋" w:eastAsia="仿宋" w:cs="仿宋"/>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26" w:name="_Toc22839_WPSOffice_Level2"/>
      <w:bookmarkStart w:id="27" w:name="_Toc18321_WPSOffice_Level2"/>
      <w:r>
        <w:rPr>
          <w:rFonts w:hint="eastAsia" w:ascii="仿宋" w:hAnsi="仿宋" w:eastAsia="仿宋" w:cs="仿宋"/>
          <w:b/>
          <w:bCs/>
          <w:spacing w:val="6"/>
          <w:sz w:val="24"/>
        </w:rPr>
        <w:t>4.5响应文件编制、签署</w:t>
      </w:r>
    </w:p>
    <w:p>
      <w:pPr>
        <w:pStyle w:val="36"/>
        <w:numPr>
          <w:ilvl w:val="0"/>
          <w:numId w:val="0"/>
        </w:numPr>
        <w:snapToGrid w:val="0"/>
        <w:spacing w:line="360" w:lineRule="auto"/>
        <w:ind w:firstLine="448" w:firstLineChars="200"/>
        <w:rPr>
          <w:rFonts w:hint="default" w:ascii="仿宋" w:hAnsi="仿宋" w:eastAsia="仿宋" w:cs="仿宋"/>
          <w:color w:val="auto"/>
          <w:lang w:val="en-US" w:eastAsia="zh-CN"/>
        </w:rPr>
      </w:pPr>
      <w:r>
        <w:rPr>
          <w:rFonts w:hint="eastAsia" w:ascii="仿宋" w:hAnsi="仿宋" w:eastAsia="仿宋" w:cs="仿宋"/>
          <w:color w:val="auto"/>
        </w:rPr>
        <w:t>4.5.1响应文件一式</w:t>
      </w:r>
      <w:r>
        <w:rPr>
          <w:rFonts w:hint="eastAsia" w:ascii="仿宋" w:hAnsi="仿宋" w:eastAsia="仿宋" w:cs="仿宋"/>
          <w:color w:val="auto"/>
          <w:lang w:eastAsia="zh-CN"/>
        </w:rPr>
        <w:t>三份</w:t>
      </w:r>
      <w:r>
        <w:rPr>
          <w:rFonts w:hint="eastAsia" w:ascii="仿宋" w:hAnsi="仿宋" w:eastAsia="仿宋" w:cs="仿宋"/>
          <w:color w:val="auto"/>
        </w:rPr>
        <w:t>（其中正本1份、副本2份），每份须包含资格响应部分、技术响应部分、报价部分（</w:t>
      </w:r>
      <w:r>
        <w:rPr>
          <w:rFonts w:hint="eastAsia" w:ascii="仿宋" w:hAnsi="仿宋" w:eastAsia="仿宋" w:cs="仿宋"/>
          <w:b w:val="0"/>
          <w:bCs w:val="0"/>
          <w:lang w:val="en-US" w:eastAsia="zh-CN"/>
        </w:rPr>
        <w:t>首轮报价表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"报价一览表" </w:instrText>
      </w:r>
      <w:r>
        <w:rPr>
          <w:rFonts w:hint="eastAsia" w:ascii="仿宋" w:hAnsi="仿宋" w:eastAsia="仿宋" w:cs="仿宋"/>
          <w:color w:val="auto"/>
        </w:rPr>
        <w:fldChar w:fldCharType="separate"/>
      </w:r>
      <w:r>
        <w:rPr>
          <w:rFonts w:hint="eastAsia" w:ascii="仿宋" w:hAnsi="仿宋" w:eastAsia="仿宋" w:cs="仿宋"/>
          <w:color w:val="auto"/>
        </w:rPr>
        <w:t>详见格式10）</w:t>
      </w:r>
      <w:r>
        <w:rPr>
          <w:rFonts w:hint="eastAsia" w:ascii="仿宋" w:hAnsi="仿宋" w:eastAsia="仿宋" w:cs="仿宋"/>
          <w:color w:val="auto"/>
        </w:rPr>
        <w:fldChar w:fldCharType="end"/>
      </w:r>
      <w:r>
        <w:rPr>
          <w:rFonts w:hint="eastAsia" w:ascii="仿宋" w:hAnsi="仿宋" w:eastAsia="仿宋" w:cs="仿宋"/>
          <w:color w:val="auto"/>
        </w:rPr>
        <w:t>响应文件封面上标注“正本”、“副本”字样，注明响应文件项目名称和供应商名称（详见第三部分格式1），响应文件不齐全者将做无效响应文件处理。</w:t>
      </w:r>
      <w:r>
        <w:rPr>
          <w:rFonts w:hint="eastAsia" w:ascii="仿宋" w:hAnsi="仿宋" w:eastAsia="仿宋" w:cs="仿宋"/>
          <w:color w:val="auto"/>
          <w:lang w:val="en-US" w:eastAsia="zh-CN"/>
        </w:rPr>
        <w:t>(提供电子档响应文件）</w:t>
      </w:r>
    </w:p>
    <w:p>
      <w:pPr>
        <w:pStyle w:val="36"/>
        <w:numPr>
          <w:ilvl w:val="0"/>
          <w:numId w:val="0"/>
        </w:numPr>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rPr>
        <w:t>（1）供应商的报价是供应商响应本项目要求的全部工作内容的价格体现，包括供应商完成本项目所需的一切费用。</w:t>
      </w:r>
    </w:p>
    <w:p>
      <w:pPr>
        <w:pStyle w:val="36"/>
        <w:numPr>
          <w:ilvl w:val="0"/>
          <w:numId w:val="2"/>
        </w:numPr>
        <w:snapToGrid w:val="0"/>
        <w:spacing w:line="360" w:lineRule="auto"/>
        <w:ind w:left="131" w:leftChars="0" w:firstLine="448" w:firstLineChars="0"/>
        <w:rPr>
          <w:rFonts w:hint="eastAsia" w:ascii="仿宋" w:hAnsi="仿宋" w:eastAsia="仿宋" w:cs="仿宋"/>
          <w:color w:val="auto"/>
          <w:lang w:val="en-US" w:eastAsia="zh-CN"/>
        </w:rPr>
      </w:pP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4.5.2供应商应在仔细阅读</w:t>
      </w:r>
      <w:r>
        <w:rPr>
          <w:rFonts w:hint="eastAsia" w:ascii="仿宋" w:hAnsi="仿宋" w:eastAsia="仿宋" w:cs="仿宋"/>
          <w:spacing w:val="6"/>
          <w:sz w:val="24"/>
          <w:lang w:eastAsia="zh-CN"/>
        </w:rPr>
        <w:t>磋商文件</w:t>
      </w:r>
      <w:r>
        <w:rPr>
          <w:rFonts w:hint="eastAsia" w:ascii="仿宋" w:hAnsi="仿宋" w:eastAsia="仿宋" w:cs="仿宋"/>
          <w:spacing w:val="6"/>
          <w:sz w:val="24"/>
        </w:rPr>
        <w:t>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4.5.3响应文件正本和副本均需要在规定签章处签字和盖章。若正本与副本内容出现差异时，则以正本为准；副本可采用正本的复印件。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4.5.5响应文件正本必须使用不褪色、不变质的墨水书写或打印，逐页加盖供应商单位鲜章,并在规定签章处逐一签字和加盖公章，其响应单位加盖公章应为鲜章，签署、盖章和内容应完整、有效。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4.5.6响应文件应统一使用A4幅面纸印制，逐页编目编码以方便磋商小组查阅。</w:t>
      </w:r>
    </w:p>
    <w:bookmarkEnd w:id="26"/>
    <w:bookmarkEnd w:id="27"/>
    <w:p>
      <w:pPr>
        <w:snapToGrid w:val="0"/>
        <w:spacing w:line="360" w:lineRule="auto"/>
        <w:ind w:firstLine="472" w:firstLineChars="200"/>
        <w:rPr>
          <w:rFonts w:hint="eastAsia" w:ascii="仿宋" w:hAnsi="仿宋" w:eastAsia="仿宋" w:cs="仿宋"/>
          <w:b/>
          <w:bCs/>
          <w:spacing w:val="6"/>
          <w:sz w:val="24"/>
        </w:rPr>
      </w:pPr>
      <w:bookmarkStart w:id="28" w:name="_Toc3446"/>
      <w:bookmarkStart w:id="29" w:name="_Toc20671_WPSOffice_Level1"/>
      <w:bookmarkStart w:id="30" w:name="_Toc13316"/>
      <w:bookmarkStart w:id="31" w:name="_Toc15311_WPSOffice_Level1"/>
      <w:bookmarkStart w:id="32" w:name="_Toc1606_WPSOffice_Level1"/>
      <w:bookmarkStart w:id="33" w:name="_Toc15591_WPSOffice_Level1"/>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6.1 </w:t>
      </w:r>
      <w:r>
        <w:rPr>
          <w:rFonts w:hint="eastAsia" w:ascii="仿宋" w:hAnsi="仿宋" w:eastAsia="仿宋" w:cs="仿宋"/>
          <w:b/>
          <w:bCs/>
          <w:spacing w:val="6"/>
          <w:sz w:val="24"/>
          <w:u w:val="single"/>
        </w:rPr>
        <w:t>供应商应将其响应文件用密封袋密封，并在封口处加盖单位公章；若不满足以上要求，采购人将有可能拒收其响应文件</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6.2 在密封袋封面上注明项目名称、供应商名称、及“响应文件”字样（详见第三部分格式1）。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6.3 每一密封件上应注明“于   年  月  日  时之前不准启封”字样； </w:t>
      </w:r>
    </w:p>
    <w:p>
      <w:pPr>
        <w:snapToGrid w:val="0"/>
        <w:spacing w:line="360" w:lineRule="auto"/>
        <w:ind w:firstLine="472" w:firstLineChars="200"/>
        <w:rPr>
          <w:rFonts w:hint="eastAsia" w:ascii="仿宋" w:hAnsi="仿宋" w:eastAsia="仿宋" w:cs="仿宋"/>
          <w:spacing w:val="6"/>
          <w:sz w:val="24"/>
        </w:rPr>
      </w:pPr>
      <w:bookmarkStart w:id="34" w:name="_Toc18574"/>
      <w:r>
        <w:rPr>
          <w:rFonts w:hint="eastAsia" w:ascii="仿宋" w:hAnsi="仿宋" w:eastAsia="仿宋" w:cs="仿宋"/>
          <w:spacing w:val="6"/>
          <w:sz w:val="24"/>
        </w:rPr>
        <w:t>6.4 如果未按前款规定密封和标记，采购人对响应文件的误投或提前拆封不负责任。对由此造成提前开封的响应文件，采购人将予以拒绝，并退回供应商。</w:t>
      </w:r>
      <w:bookmarkEnd w:id="34"/>
    </w:p>
    <w:p>
      <w:pPr>
        <w:snapToGrid w:val="0"/>
        <w:spacing w:line="360" w:lineRule="auto"/>
        <w:ind w:firstLine="472" w:firstLineChars="200"/>
        <w:rPr>
          <w:rFonts w:hint="eastAsia" w:ascii="仿宋" w:hAnsi="仿宋" w:eastAsia="仿宋" w:cs="仿宋"/>
          <w:b/>
          <w:bCs/>
          <w:spacing w:val="6"/>
          <w:sz w:val="24"/>
        </w:rPr>
      </w:pPr>
      <w:bookmarkStart w:id="35" w:name="_Toc18915_WPSOffice_Level2"/>
      <w:bookmarkStart w:id="36" w:name="_Toc22184_WPSOffice_Level2"/>
      <w:r>
        <w:rPr>
          <w:rFonts w:hint="eastAsia" w:ascii="仿宋" w:hAnsi="仿宋" w:eastAsia="仿宋" w:cs="仿宋"/>
          <w:b/>
          <w:bCs/>
          <w:spacing w:val="6"/>
          <w:sz w:val="24"/>
        </w:rPr>
        <w:t>七、响应文件的递交</w:t>
      </w:r>
      <w:bookmarkEnd w:id="35"/>
      <w:bookmarkEnd w:id="3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7.1供应商应在递交响应文件截止时间前将响应文件送达指定地点。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7.2超过截止时间送达的或未按要求密封的响应文件将不予接收。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8.1 本项目评审方法为：综合评分法。综合评分法，是指响应文件满足磋商文件全部实质性要求且按照评审因素的量化指标评审得分最高的供应商为</w:t>
      </w:r>
      <w:r>
        <w:rPr>
          <w:rFonts w:hint="eastAsia" w:ascii="仿宋" w:hAnsi="仿宋" w:eastAsia="仿宋" w:cs="仿宋"/>
          <w:spacing w:val="6"/>
          <w:sz w:val="24"/>
          <w:lang w:val="en-US" w:eastAsia="zh-CN"/>
        </w:rPr>
        <w:t>成交</w:t>
      </w:r>
      <w:r>
        <w:rPr>
          <w:rFonts w:hint="eastAsia" w:ascii="仿宋" w:hAnsi="仿宋" w:eastAsia="仿宋" w:cs="仿宋"/>
          <w:spacing w:val="6"/>
          <w:sz w:val="24"/>
        </w:rPr>
        <w:t>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8.2</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依法组建的评选委员会，对各供应商的响应文件进行评审。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8.3根据评审结果并经采购人书面确认得出本项目的</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8.4采购人对未</w:t>
      </w:r>
      <w:r>
        <w:rPr>
          <w:rFonts w:hint="eastAsia" w:ascii="仿宋" w:hAnsi="仿宋" w:eastAsia="仿宋" w:cs="仿宋"/>
          <w:spacing w:val="6"/>
          <w:sz w:val="24"/>
          <w:lang w:val="en-US" w:eastAsia="zh-CN"/>
        </w:rPr>
        <w:t>成交</w:t>
      </w:r>
      <w:r>
        <w:rPr>
          <w:rFonts w:hint="eastAsia" w:ascii="仿宋" w:hAnsi="仿宋" w:eastAsia="仿宋" w:cs="仿宋"/>
          <w:spacing w:val="6"/>
          <w:sz w:val="24"/>
        </w:rPr>
        <w:t>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 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9.2 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评选委员会依据法律法规和磋商文件的规定，审查供应商是否具备磋商资格。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9.3 评选委员会依据磋商文件规定的评审方法，对通过资格审查的供应商的响应文件，按照磋商文件第五部分“评分标准”的要求进行评价与比较。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9.4推荐候选供应商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评选委员会</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9.5定标</w:t>
      </w:r>
    </w:p>
    <w:p>
      <w:pPr>
        <w:snapToGrid w:val="0"/>
        <w:spacing w:line="360" w:lineRule="auto"/>
        <w:ind w:firstLine="448" w:firstLineChars="200"/>
        <w:rPr>
          <w:rFonts w:hint="eastAsia" w:ascii="仿宋" w:hAnsi="仿宋" w:eastAsia="仿宋" w:cs="仿宋"/>
          <w:sz w:val="24"/>
        </w:rPr>
      </w:pPr>
      <w:bookmarkStart w:id="37" w:name="_Toc183582297"/>
      <w:bookmarkStart w:id="38" w:name="_Toc208849022"/>
      <w:bookmarkStart w:id="39" w:name="_Toc217446105"/>
      <w:bookmarkStart w:id="40" w:name="_Toc183682432"/>
      <w:r>
        <w:rPr>
          <w:rFonts w:hint="eastAsia" w:ascii="仿宋" w:hAnsi="仿宋" w:eastAsia="仿宋" w:cs="仿宋"/>
          <w:sz w:val="24"/>
        </w:rPr>
        <w:t>采购人将按评选委员会推荐的候选供应商顺序，确定排名顺序中排名第一的候选供应商为本项目的</w:t>
      </w:r>
      <w:r>
        <w:rPr>
          <w:rFonts w:hint="eastAsia" w:ascii="仿宋" w:hAnsi="仿宋" w:eastAsia="仿宋" w:cs="仿宋"/>
          <w:sz w:val="24"/>
          <w:lang w:val="en-US" w:eastAsia="zh-CN"/>
        </w:rPr>
        <w:t>成交</w:t>
      </w:r>
      <w:r>
        <w:rPr>
          <w:rFonts w:hint="eastAsia" w:ascii="仿宋" w:hAnsi="仿宋" w:eastAsia="仿宋" w:cs="仿宋"/>
          <w:sz w:val="24"/>
        </w:rPr>
        <w:t>供应商。</w:t>
      </w:r>
    </w:p>
    <w:p>
      <w:pPr>
        <w:snapToGrid w:val="0"/>
        <w:spacing w:line="360" w:lineRule="auto"/>
        <w:ind w:firstLine="448" w:firstLineChars="200"/>
        <w:rPr>
          <w:rFonts w:hint="eastAsia" w:ascii="仿宋" w:hAnsi="仿宋" w:eastAsia="仿宋" w:cs="仿宋"/>
          <w:sz w:val="24"/>
        </w:rPr>
      </w:pPr>
      <w:bookmarkStart w:id="41" w:name="_Toc217446062"/>
      <w:r>
        <w:rPr>
          <w:rFonts w:hint="eastAsia" w:ascii="仿宋" w:hAnsi="仿宋" w:eastAsia="仿宋" w:cs="仿宋"/>
          <w:sz w:val="24"/>
        </w:rPr>
        <w:t>9.6定标程序</w:t>
      </w:r>
      <w:bookmarkEnd w:id="41"/>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9.6.1评选委员会将评选情况写出书面报告，确定候选供应商顺序。</w:t>
      </w:r>
    </w:p>
    <w:bookmarkEnd w:id="37"/>
    <w:bookmarkEnd w:id="38"/>
    <w:bookmarkEnd w:id="39"/>
    <w:bookmarkEnd w:id="40"/>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9.7根据采购人确定的采购结果，采购人将向</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供应商发出《</w:t>
      </w:r>
      <w:r>
        <w:rPr>
          <w:rFonts w:hint="eastAsia" w:ascii="仿宋" w:hAnsi="仿宋" w:eastAsia="仿宋" w:cs="仿宋"/>
          <w:spacing w:val="6"/>
          <w:sz w:val="24"/>
          <w:lang w:val="en-US" w:eastAsia="zh-CN"/>
        </w:rPr>
        <w:t>成交</w:t>
      </w:r>
      <w:r>
        <w:rPr>
          <w:rFonts w:hint="eastAsia" w:ascii="仿宋" w:hAnsi="仿宋" w:eastAsia="仿宋" w:cs="仿宋"/>
          <w:spacing w:val="6"/>
          <w:sz w:val="24"/>
        </w:rPr>
        <w:t>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9.8如果排名第一位的候选供应商因故放弃</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或被取消</w:t>
      </w:r>
      <w:r>
        <w:rPr>
          <w:rFonts w:hint="eastAsia" w:ascii="仿宋" w:hAnsi="仿宋" w:eastAsia="仿宋" w:cs="仿宋"/>
          <w:spacing w:val="6"/>
          <w:sz w:val="24"/>
          <w:lang w:val="en-US" w:eastAsia="zh-CN"/>
        </w:rPr>
        <w:t>成交</w:t>
      </w:r>
      <w:r>
        <w:rPr>
          <w:rFonts w:hint="eastAsia" w:ascii="仿宋" w:hAnsi="仿宋" w:eastAsia="仿宋" w:cs="仿宋"/>
          <w:spacing w:val="6"/>
          <w:sz w:val="24"/>
        </w:rPr>
        <w:t>资格，则依次按</w:t>
      </w:r>
      <w:r>
        <w:rPr>
          <w:rFonts w:hint="eastAsia" w:ascii="仿宋" w:hAnsi="仿宋" w:eastAsia="仿宋" w:cs="仿宋"/>
          <w:sz w:val="24"/>
        </w:rPr>
        <w:t>评选委员会推荐的候选供应商顺序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 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评选委员会对响应文件中含义不明确、同类问题表述不一致或者有明显文字和计算错误的内容，应当以书面形式（须由评选委员会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9.9.3评选委员会要求供应商澄清、说明或者更正，不得超出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9.10对不同语言文本响应文件的解释发生异议的，以中文文本为准，不需要澄清。</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注：评选委员会当积极履行澄清、说明或者更正的职责，不得滥用权力。供应商的响应文件可以要求澄清、说明或者更正的，不得未经澄清、说明或者更正而直接作无效响应处理。</w:t>
      </w:r>
    </w:p>
    <w:p>
      <w:pPr>
        <w:pStyle w:val="2"/>
        <w:rPr>
          <w:rFonts w:hint="eastAsia" w:ascii="仿宋" w:hAnsi="仿宋" w:eastAsia="仿宋" w:cs="仿宋"/>
        </w:rPr>
      </w:pPr>
    </w:p>
    <w:bookmarkEnd w:id="28"/>
    <w:bookmarkEnd w:id="29"/>
    <w:bookmarkEnd w:id="30"/>
    <w:bookmarkEnd w:id="31"/>
    <w:bookmarkEnd w:id="32"/>
    <w:bookmarkEnd w:id="33"/>
    <w:p>
      <w:pPr>
        <w:pStyle w:val="3"/>
        <w:pageBreakBefore/>
        <w:snapToGrid w:val="0"/>
        <w:spacing w:before="0" w:after="0" w:line="360" w:lineRule="auto"/>
        <w:jc w:val="center"/>
        <w:rPr>
          <w:rFonts w:hint="eastAsia" w:ascii="仿宋" w:hAnsi="仿宋" w:eastAsia="仿宋" w:cs="仿宋"/>
          <w:bCs w:val="0"/>
          <w:sz w:val="32"/>
          <w:szCs w:val="32"/>
        </w:rPr>
      </w:pPr>
      <w:bookmarkStart w:id="42" w:name="_Toc2106"/>
      <w:bookmarkStart w:id="43" w:name="_Toc14947"/>
      <w:bookmarkStart w:id="44" w:name="_Toc10959"/>
      <w:bookmarkStart w:id="45" w:name="_Toc31255"/>
      <w:r>
        <w:rPr>
          <w:rFonts w:hint="eastAsia" w:ascii="仿宋" w:hAnsi="仿宋" w:eastAsia="仿宋" w:cs="仿宋"/>
          <w:bCs w:val="0"/>
          <w:sz w:val="32"/>
          <w:szCs w:val="32"/>
        </w:rPr>
        <w:t>第三部分  磋商文件主要</w:t>
      </w:r>
      <w:r>
        <w:rPr>
          <w:rFonts w:hint="eastAsia" w:ascii="仿宋" w:hAnsi="仿宋" w:eastAsia="仿宋" w:cs="仿宋"/>
          <w:sz w:val="32"/>
          <w:szCs w:val="32"/>
        </w:rPr>
        <w:t>格式</w:t>
      </w:r>
      <w:bookmarkEnd w:id="42"/>
      <w:bookmarkEnd w:id="43"/>
    </w:p>
    <w:p>
      <w:pPr>
        <w:pStyle w:val="56"/>
        <w:spacing w:before="93" w:after="93"/>
        <w:ind w:firstLine="0" w:firstLineChars="0"/>
        <w:rPr>
          <w:rFonts w:hint="eastAsia" w:ascii="仿宋" w:hAnsi="仿宋" w:eastAsia="仿宋" w:cs="仿宋"/>
          <w:b/>
          <w:sz w:val="30"/>
          <w:szCs w:val="30"/>
        </w:rPr>
      </w:pPr>
      <w:bookmarkStart w:id="46" w:name="_Toc4967"/>
      <w:bookmarkStart w:id="47" w:name="_Toc17041"/>
      <w:bookmarkStart w:id="48" w:name="_Toc20369"/>
    </w:p>
    <w:p>
      <w:pPr>
        <w:pStyle w:val="56"/>
        <w:spacing w:before="93" w:after="93"/>
        <w:ind w:firstLine="0" w:firstLineChars="0"/>
        <w:outlineLvl w:val="1"/>
        <w:rPr>
          <w:rFonts w:hint="eastAsia" w:ascii="仿宋" w:hAnsi="仿宋" w:eastAsia="仿宋" w:cs="仿宋"/>
          <w:b/>
          <w:sz w:val="30"/>
          <w:szCs w:val="30"/>
        </w:rPr>
      </w:pPr>
      <w:bookmarkStart w:id="49" w:name="_Toc28657"/>
      <w:bookmarkStart w:id="50" w:name="_Toc4477"/>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4445" t="4445" r="18415" b="1841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wrap="square" upright="1"/>
                    </wps:wsp>
                  </a:graphicData>
                </a:graphic>
              </wp:anchor>
            </w:drawing>
          </mc:Choice>
          <mc:Fallback>
            <w:pict>
              <v:rect id="Rectangle 2"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NElh5AEAgAASAQAAA4AAAAAAAAAAQAgAAAAJwEA&#10;AGRycy9lMm9Eb2MueG1sUEsFBgAAAAAGAAYAWQEAAJ0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sz w:val="30"/>
          <w:szCs w:val="30"/>
        </w:rPr>
        <w:t>格式1 响应文件封面格式</w:t>
      </w:r>
      <w:bookmarkEnd w:id="46"/>
      <w:bookmarkEnd w:id="47"/>
      <w:bookmarkEnd w:id="48"/>
      <w:bookmarkEnd w:id="49"/>
      <w:bookmarkEnd w:id="50"/>
    </w:p>
    <w:p>
      <w:pPr>
        <w:pStyle w:val="56"/>
        <w:spacing w:before="93" w:after="93"/>
        <w:ind w:firstLine="1854"/>
        <w:rPr>
          <w:rFonts w:hint="eastAsia" w:ascii="仿宋" w:hAnsi="仿宋" w:eastAsia="仿宋" w:cs="仿宋"/>
          <w:b/>
          <w:sz w:val="94"/>
          <w:szCs w:val="94"/>
        </w:rPr>
      </w:pPr>
    </w:p>
    <w:p>
      <w:pPr>
        <w:pStyle w:val="56"/>
        <w:spacing w:before="93" w:after="93"/>
        <w:ind w:firstLine="1854"/>
        <w:rPr>
          <w:rFonts w:hint="eastAsia" w:ascii="仿宋" w:hAnsi="仿宋" w:eastAsia="仿宋" w:cs="仿宋"/>
          <w:b/>
          <w:sz w:val="94"/>
          <w:szCs w:val="94"/>
        </w:rPr>
      </w:pPr>
      <w:bookmarkStart w:id="51" w:name="_Toc25616_WPSOffice_Level2"/>
      <w:bookmarkStart w:id="52" w:name="_Toc31550_WPSOffice_Level2"/>
      <w:r>
        <w:rPr>
          <w:rFonts w:hint="eastAsia" w:ascii="仿宋" w:hAnsi="仿宋" w:eastAsia="仿宋" w:cs="仿宋"/>
          <w:b/>
          <w:sz w:val="94"/>
          <w:szCs w:val="94"/>
        </w:rPr>
        <w:t>响  应  文  件</w:t>
      </w:r>
      <w:bookmarkEnd w:id="51"/>
      <w:bookmarkEnd w:id="52"/>
    </w:p>
    <w:p>
      <w:pPr>
        <w:pStyle w:val="56"/>
        <w:spacing w:before="93" w:after="93"/>
        <w:ind w:firstLine="687"/>
        <w:jc w:val="center"/>
        <w:rPr>
          <w:rFonts w:hint="eastAsia" w:ascii="仿宋" w:hAnsi="仿宋" w:eastAsia="仿宋" w:cs="仿宋"/>
          <w:sz w:val="36"/>
          <w:szCs w:val="36"/>
        </w:rPr>
      </w:pPr>
    </w:p>
    <w:p>
      <w:pPr>
        <w:pStyle w:val="56"/>
        <w:spacing w:before="93" w:after="93"/>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56"/>
        <w:spacing w:before="93" w:after="93"/>
        <w:ind w:firstLine="607"/>
        <w:rPr>
          <w:rFonts w:hint="eastAsia" w:ascii="仿宋" w:hAnsi="仿宋" w:eastAsia="仿宋" w:cs="仿宋"/>
          <w:sz w:val="32"/>
          <w:szCs w:val="32"/>
        </w:rPr>
      </w:pPr>
    </w:p>
    <w:p>
      <w:pPr>
        <w:pStyle w:val="56"/>
        <w:spacing w:before="93" w:after="93"/>
        <w:ind w:firstLine="607"/>
        <w:rPr>
          <w:rFonts w:hint="eastAsia" w:ascii="仿宋" w:hAnsi="仿宋" w:eastAsia="仿宋" w:cs="仿宋"/>
          <w:sz w:val="32"/>
          <w:szCs w:val="32"/>
        </w:rPr>
      </w:pP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项目名称：</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供应商（加盖公章）：</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法定代表人/单位负责人或其委托代理人签字：</w:t>
      </w:r>
    </w:p>
    <w:p>
      <w:pPr>
        <w:tabs>
          <w:tab w:val="left" w:pos="7665"/>
        </w:tabs>
        <w:spacing w:line="360" w:lineRule="auto"/>
        <w:jc w:val="right"/>
        <w:rPr>
          <w:rFonts w:hint="eastAsia" w:ascii="仿宋" w:hAnsi="仿宋" w:eastAsia="仿宋" w:cs="仿宋"/>
          <w:spacing w:val="6"/>
          <w:sz w:val="36"/>
          <w:szCs w:val="36"/>
        </w:rPr>
      </w:pPr>
      <w:r>
        <w:rPr>
          <w:rFonts w:hint="eastAsia" w:ascii="仿宋" w:hAnsi="仿宋" w:eastAsia="仿宋" w:cs="仿宋"/>
          <w:sz w:val="32"/>
          <w:szCs w:val="32"/>
        </w:rPr>
        <w:t xml:space="preserve">年     月     日 </w:t>
      </w:r>
    </w:p>
    <w:p>
      <w:pPr>
        <w:pageBreakBefore/>
        <w:snapToGrid w:val="0"/>
        <w:spacing w:line="360" w:lineRule="auto"/>
        <w:outlineLvl w:val="1"/>
        <w:rPr>
          <w:rFonts w:hint="eastAsia" w:ascii="仿宋" w:hAnsi="仿宋" w:eastAsia="仿宋" w:cs="仿宋"/>
          <w:b/>
          <w:sz w:val="30"/>
          <w:szCs w:val="30"/>
        </w:rPr>
      </w:pPr>
      <w:bookmarkStart w:id="53" w:name="_Toc9756"/>
      <w:bookmarkStart w:id="54" w:name="_Toc28249"/>
      <w:r>
        <w:rPr>
          <w:rFonts w:hint="eastAsia" w:ascii="仿宋" w:hAnsi="仿宋" w:eastAsia="仿宋" w:cs="仿宋"/>
          <w:b/>
          <w:sz w:val="30"/>
          <w:szCs w:val="30"/>
        </w:rPr>
        <w:t>格式2磋商申请书</w:t>
      </w:r>
      <w:bookmarkEnd w:id="53"/>
      <w:bookmarkEnd w:id="54"/>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致：内江市第二人民医院（采购人）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根据贵单位项目名称为：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的</w:t>
      </w:r>
      <w:r>
        <w:rPr>
          <w:rFonts w:hint="eastAsia" w:ascii="仿宋" w:hAnsi="仿宋" w:eastAsia="仿宋" w:cs="仿宋"/>
          <w:spacing w:val="6"/>
          <w:sz w:val="24"/>
          <w:lang w:eastAsia="zh-CN"/>
        </w:rPr>
        <w:t>磋商文件</w:t>
      </w:r>
      <w:r>
        <w:rPr>
          <w:rFonts w:hint="eastAsia" w:ascii="仿宋" w:hAnsi="仿宋" w:eastAsia="仿宋" w:cs="仿宋"/>
          <w:spacing w:val="6"/>
          <w:sz w:val="24"/>
        </w:rPr>
        <w:t>，签字代表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（姓名、职务）</w:t>
      </w:r>
      <w:r>
        <w:rPr>
          <w:rFonts w:hint="eastAsia" w:ascii="仿宋" w:hAnsi="仿宋" w:eastAsia="仿宋" w:cs="仿宋"/>
          <w:spacing w:val="6"/>
          <w:sz w:val="24"/>
        </w:rPr>
        <w:t>经正式授权并代表：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（供应商名称）</w:t>
      </w:r>
      <w:r>
        <w:rPr>
          <w:rFonts w:hint="eastAsia" w:ascii="仿宋" w:hAnsi="仿宋" w:eastAsia="仿宋" w:cs="仿宋"/>
          <w:spacing w:val="6"/>
          <w:sz w:val="24"/>
        </w:rPr>
        <w:t>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1．我方自愿按照比</w:t>
      </w:r>
      <w:r>
        <w:rPr>
          <w:rFonts w:hint="eastAsia" w:ascii="仿宋" w:hAnsi="仿宋" w:eastAsia="仿宋" w:cs="仿宋"/>
          <w:spacing w:val="6"/>
          <w:sz w:val="24"/>
          <w:lang w:eastAsia="zh-CN"/>
        </w:rPr>
        <w:t>磋商文件</w:t>
      </w:r>
      <w:r>
        <w:rPr>
          <w:rFonts w:hint="eastAsia" w:ascii="仿宋" w:hAnsi="仿宋" w:eastAsia="仿宋" w:cs="仿宋"/>
          <w:spacing w:val="6"/>
          <w:sz w:val="24"/>
        </w:rPr>
        <w:t>规定的各项要求向甲方提供所需货物/服务。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2．一旦我方</w:t>
      </w:r>
      <w:r>
        <w:rPr>
          <w:rFonts w:hint="eastAsia" w:ascii="仿宋" w:hAnsi="仿宋" w:eastAsia="仿宋" w:cs="仿宋"/>
          <w:spacing w:val="6"/>
          <w:sz w:val="24"/>
          <w:lang w:val="en-US" w:eastAsia="zh-CN"/>
        </w:rPr>
        <w:t>成交</w:t>
      </w:r>
      <w:r>
        <w:rPr>
          <w:rFonts w:hint="eastAsia" w:ascii="仿宋" w:hAnsi="仿宋" w:eastAsia="仿宋" w:cs="仿宋"/>
          <w:spacing w:val="6"/>
          <w:sz w:val="24"/>
        </w:rPr>
        <w:t>，我方将严格履行合同规定的责任和义务，并完成项目。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3．我方已详细审查并完全理解全部</w:t>
      </w:r>
      <w:r>
        <w:rPr>
          <w:rFonts w:hint="eastAsia" w:ascii="仿宋" w:hAnsi="仿宋" w:eastAsia="仿宋" w:cs="仿宋"/>
          <w:spacing w:val="6"/>
          <w:sz w:val="24"/>
          <w:lang w:eastAsia="zh-CN"/>
        </w:rPr>
        <w:t>磋商文件</w:t>
      </w:r>
      <w:r>
        <w:rPr>
          <w:rFonts w:hint="eastAsia" w:ascii="仿宋" w:hAnsi="仿宋" w:eastAsia="仿宋" w:cs="仿宋"/>
          <w:spacing w:val="6"/>
          <w:sz w:val="24"/>
        </w:rPr>
        <w:t>，包括修改文件（如有）以及全部参考资料和有关附件。我方对于</w:t>
      </w:r>
      <w:r>
        <w:rPr>
          <w:rFonts w:hint="eastAsia" w:ascii="仿宋" w:hAnsi="仿宋" w:eastAsia="仿宋" w:cs="仿宋"/>
          <w:spacing w:val="6"/>
          <w:sz w:val="24"/>
          <w:lang w:eastAsia="zh-CN"/>
        </w:rPr>
        <w:t>磋商文件</w:t>
      </w:r>
      <w:r>
        <w:rPr>
          <w:rFonts w:hint="eastAsia" w:ascii="仿宋" w:hAnsi="仿宋" w:eastAsia="仿宋" w:cs="仿宋"/>
          <w:spacing w:val="6"/>
          <w:sz w:val="24"/>
        </w:rPr>
        <w:t>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法定代表人（单位负责人）或其委托代理人签字：</w:t>
      </w:r>
    </w:p>
    <w:p>
      <w:pPr>
        <w:snapToGrid w:val="0"/>
        <w:spacing w:line="360" w:lineRule="auto"/>
        <w:ind w:right="628" w:firstLine="472" w:firstLineChars="200"/>
        <w:rPr>
          <w:rFonts w:hint="eastAsia" w:ascii="仿宋" w:hAnsi="仿宋" w:eastAsia="仿宋" w:cs="仿宋"/>
          <w:spacing w:val="6"/>
          <w:sz w:val="24"/>
        </w:rPr>
      </w:pPr>
      <w:r>
        <w:rPr>
          <w:rFonts w:hint="eastAsia" w:ascii="仿宋" w:hAnsi="仿宋" w:eastAsia="仿宋" w:cs="仿宋"/>
          <w:spacing w:val="6"/>
          <w:sz w:val="24"/>
        </w:rPr>
        <w:t>日期：年月日</w:t>
      </w:r>
    </w:p>
    <w:p>
      <w:pPr>
        <w:snapToGrid w:val="0"/>
        <w:spacing w:line="360" w:lineRule="auto"/>
        <w:rPr>
          <w:rFonts w:hint="eastAsia" w:ascii="仿宋" w:hAnsi="仿宋" w:eastAsia="仿宋" w:cs="仿宋"/>
          <w:spacing w:val="6"/>
          <w:sz w:val="24"/>
        </w:rPr>
        <w:sectPr>
          <w:footerReference r:id="rId6" w:type="default"/>
          <w:pgSz w:w="11906" w:h="16838"/>
          <w:pgMar w:top="1928" w:right="1474" w:bottom="1247" w:left="1531" w:header="851" w:footer="1134" w:gutter="0"/>
          <w:pgNumType w:start="1"/>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55" w:name="_Toc20056"/>
      <w:bookmarkStart w:id="56" w:name="_Toc9974"/>
      <w:bookmarkStart w:id="57" w:name="_Toc6393"/>
      <w:r>
        <w:rPr>
          <w:rFonts w:hint="eastAsia" w:ascii="仿宋" w:hAnsi="仿宋" w:eastAsia="仿宋" w:cs="仿宋"/>
          <w:b/>
          <w:sz w:val="30"/>
          <w:szCs w:val="30"/>
        </w:rPr>
        <w:t>格式3 响应函</w:t>
      </w:r>
      <w:bookmarkEnd w:id="55"/>
      <w:bookmarkEnd w:id="56"/>
      <w:r>
        <w:rPr>
          <w:rFonts w:hint="eastAsia" w:ascii="仿宋" w:hAnsi="仿宋" w:eastAsia="仿宋" w:cs="仿宋"/>
          <w:b/>
          <w:sz w:val="30"/>
          <w:szCs w:val="30"/>
        </w:rPr>
        <w:t>（实质性要求）</w:t>
      </w:r>
      <w:bookmarkEnd w:id="57"/>
    </w:p>
    <w:p>
      <w:pPr>
        <w:spacing w:line="360" w:lineRule="auto"/>
        <w:jc w:val="center"/>
        <w:rPr>
          <w:rFonts w:hint="eastAsia" w:ascii="仿宋" w:hAnsi="仿宋" w:eastAsia="仿宋" w:cs="仿宋"/>
          <w:b/>
          <w:sz w:val="36"/>
          <w:szCs w:val="36"/>
        </w:rPr>
      </w:pPr>
      <w:bookmarkStart w:id="58" w:name="供应商的资格声明"/>
      <w:r>
        <w:rPr>
          <w:rFonts w:hint="eastAsia" w:ascii="仿宋" w:hAnsi="仿宋" w:eastAsia="仿宋" w:cs="仿宋"/>
          <w:b/>
          <w:sz w:val="36"/>
          <w:szCs w:val="36"/>
        </w:rPr>
        <w:t>响应函</w:t>
      </w:r>
    </w:p>
    <w:bookmarkEnd w:id="58"/>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我方全面研究了“XXXXXXXX”项目的磋商文件，决定参加贵单位组织的本项目采购活动。我方授权XXX（姓名、职务）代表我方XXXX（供应商的名称）全权处理参加本项目采购的有关事宜。</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w:t>
      </w:r>
      <w:r>
        <w:rPr>
          <w:rFonts w:hint="eastAsia" w:ascii="仿宋" w:hAnsi="仿宋" w:eastAsia="仿宋" w:cs="仿宋"/>
          <w:spacing w:val="6"/>
          <w:sz w:val="24"/>
          <w:lang w:val="en-US" w:eastAsia="zh-CN"/>
        </w:rPr>
        <w:t>成交</w:t>
      </w:r>
      <w:r>
        <w:rPr>
          <w:rFonts w:hint="eastAsia" w:ascii="仿宋" w:hAnsi="仿宋" w:eastAsia="仿宋" w:cs="仿宋"/>
          <w:sz w:val="24"/>
        </w:rPr>
        <w:t>，我方将严格按照磋商文件第四部分的规定的所有要求，向采购人提供所需服务，认真履行合同规定的责任和义务，并按照合同相关规定完成项目。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single"/>
        </w:rPr>
        <w:t>二</w:t>
      </w:r>
      <w:r>
        <w:rPr>
          <w:rFonts w:hint="eastAsia" w:ascii="仿宋" w:hAnsi="仿宋" w:eastAsia="仿宋" w:cs="仿宋"/>
          <w:sz w:val="24"/>
        </w:rPr>
        <w:t>份。</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日    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59" w:name="_Toc5868"/>
      <w:bookmarkStart w:id="60" w:name="_Toc13161"/>
      <w:bookmarkStart w:id="61" w:name="_Toc10342"/>
      <w:bookmarkStart w:id="62" w:name="_Toc15391"/>
      <w:r>
        <w:rPr>
          <w:rFonts w:hint="eastAsia" w:ascii="仿宋" w:hAnsi="仿宋" w:eastAsia="仿宋" w:cs="仿宋"/>
          <w:b/>
          <w:bCs/>
          <w:sz w:val="30"/>
          <w:szCs w:val="30"/>
        </w:rPr>
        <w:t>格式4 承诺函</w:t>
      </w:r>
      <w:bookmarkEnd w:id="59"/>
      <w:bookmarkEnd w:id="60"/>
      <w:bookmarkEnd w:id="61"/>
      <w:bookmarkEnd w:id="62"/>
    </w:p>
    <w:p>
      <w:pPr>
        <w:pStyle w:val="56"/>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Lines="0" w:afterLines="0" w:line="288"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（五）参加磋商活动前三年内，在经营活动中没有重大违法记录，遵守相关的法律和法规；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（六）法律、行政法规规定的其他条件；</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pacing w:val="6"/>
          <w:sz w:val="24"/>
        </w:rPr>
        <w:t>磋商</w:t>
      </w:r>
      <w:r>
        <w:rPr>
          <w:rFonts w:hint="eastAsia" w:ascii="仿宋" w:hAnsi="仿宋" w:eastAsia="仿宋" w:cs="仿宋"/>
          <w:sz w:val="24"/>
        </w:rPr>
        <w:t>文件中规定的要求，如对</w:t>
      </w:r>
      <w:r>
        <w:rPr>
          <w:rFonts w:hint="eastAsia" w:ascii="仿宋" w:hAnsi="仿宋" w:eastAsia="仿宋" w:cs="仿宋"/>
          <w:spacing w:val="6"/>
          <w:sz w:val="24"/>
        </w:rPr>
        <w:t>磋商</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pacing w:val="6"/>
          <w:sz w:val="24"/>
        </w:rPr>
        <w:t>磋商</w:t>
      </w:r>
      <w:r>
        <w:rPr>
          <w:rFonts w:hint="eastAsia" w:ascii="仿宋" w:hAnsi="仿宋" w:eastAsia="仿宋" w:cs="仿宋"/>
          <w:sz w:val="24"/>
        </w:rPr>
        <w:t>文件有异议的同时又参加本次采购活动以求侥幸中标或者为实现其他非法目的的行为。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pacing w:val="6"/>
          <w:sz w:val="24"/>
        </w:rPr>
        <w:t>磋商</w:t>
      </w:r>
      <w:r>
        <w:rPr>
          <w:rFonts w:hint="eastAsia" w:ascii="仿宋" w:hAnsi="仿宋" w:eastAsia="仿宋" w:cs="仿宋"/>
          <w:sz w:val="24"/>
        </w:rPr>
        <w:t>采购活动，不存在与单位负责人为同一人或者存在直接控股、管理关系的其他供应商参与同一合同项下的采购活动的行为。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pacing w:val="6"/>
          <w:sz w:val="24"/>
        </w:rPr>
        <w:t>磋商</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五、如果有相关规定的记入诚信档案的失信行为，将在响应文件中全面如实反映。</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六、响应文件中提供的能够给予我公司带来优惠、好处的任何材料资料和技术、服务等响应承诺情况都是真实的、有效的、合法的。</w:t>
      </w:r>
    </w:p>
    <w:p>
      <w:pPr>
        <w:pStyle w:val="56"/>
        <w:spacing w:beforeLines="0" w:afterLines="0" w:line="288" w:lineRule="auto"/>
        <w:ind w:firstLine="480"/>
        <w:rPr>
          <w:rFonts w:hint="eastAsia"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pStyle w:val="56"/>
        <w:spacing w:beforeLines="0" w:afterLines="0" w:line="288" w:lineRule="auto"/>
        <w:ind w:firstLine="480"/>
        <w:rPr>
          <w:rFonts w:hint="eastAsia" w:ascii="仿宋" w:hAnsi="仿宋" w:eastAsia="仿宋" w:cs="仿宋"/>
          <w:sz w:val="24"/>
        </w:rPr>
      </w:pPr>
    </w:p>
    <w:p>
      <w:pPr>
        <w:pStyle w:val="56"/>
        <w:spacing w:beforeLines="0" w:afterLines="0" w:line="288" w:lineRule="auto"/>
        <w:ind w:firstLine="480"/>
        <w:rPr>
          <w:rFonts w:hint="eastAsia" w:ascii="仿宋" w:hAnsi="仿宋" w:eastAsia="仿宋" w:cs="仿宋"/>
          <w:sz w:val="24"/>
        </w:rPr>
      </w:pPr>
    </w:p>
    <w:p>
      <w:pPr>
        <w:widowControl/>
        <w:spacing w:line="288" w:lineRule="auto"/>
        <w:jc w:val="left"/>
        <w:rPr>
          <w:rFonts w:hint="eastAsia" w:ascii="仿宋" w:hAnsi="仿宋" w:eastAsia="仿宋" w:cs="仿宋"/>
          <w:sz w:val="24"/>
        </w:rPr>
      </w:pPr>
      <w:r>
        <w:rPr>
          <w:rFonts w:hint="eastAsia" w:ascii="仿宋" w:hAnsi="仿宋" w:eastAsia="仿宋" w:cs="仿宋"/>
          <w:sz w:val="24"/>
        </w:rPr>
        <w:t xml:space="preserve">    供应商名称（单位公章）：</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日    期：</w:t>
      </w:r>
    </w:p>
    <w:p>
      <w:pPr>
        <w:pStyle w:val="56"/>
        <w:pageBreakBefore/>
        <w:spacing w:before="46" w:after="46"/>
        <w:ind w:firstLine="0" w:firstLineChars="0"/>
        <w:outlineLvl w:val="1"/>
        <w:rPr>
          <w:rFonts w:hint="eastAsia" w:ascii="仿宋" w:hAnsi="仿宋" w:eastAsia="仿宋" w:cs="仿宋"/>
          <w:b/>
          <w:bCs/>
          <w:sz w:val="30"/>
          <w:szCs w:val="30"/>
        </w:rPr>
      </w:pPr>
      <w:bookmarkStart w:id="63" w:name="_Toc28923"/>
      <w:bookmarkStart w:id="64" w:name="_Toc4991"/>
      <w:bookmarkStart w:id="65" w:name="_Toc11671"/>
      <w:bookmarkStart w:id="66" w:name="_Toc6344"/>
      <w:bookmarkStart w:id="67" w:name="法定代表人授权委托书"/>
      <w:r>
        <w:rPr>
          <w:rFonts w:hint="eastAsia" w:ascii="仿宋" w:hAnsi="仿宋" w:eastAsia="仿宋" w:cs="仿宋"/>
          <w:b/>
          <w:bCs/>
          <w:sz w:val="30"/>
          <w:szCs w:val="30"/>
        </w:rPr>
        <w:t>格式5 依法缴纳税收和社会保障资金承诺函</w:t>
      </w:r>
      <w:bookmarkEnd w:id="63"/>
      <w:bookmarkEnd w:id="64"/>
      <w:bookmarkEnd w:id="65"/>
    </w:p>
    <w:p>
      <w:pPr>
        <w:pStyle w:val="56"/>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依法缴纳税收和社会保障资金承诺函</w:t>
      </w:r>
    </w:p>
    <w:p>
      <w:pPr>
        <w:widowControl/>
        <w:spacing w:line="360" w:lineRule="auto"/>
        <w:jc w:val="center"/>
        <w:rPr>
          <w:rFonts w:hint="eastAsia" w:ascii="仿宋" w:hAnsi="仿宋" w:eastAsia="仿宋" w:cs="仿宋"/>
          <w:b/>
          <w:bCs/>
          <w:kern w:val="0"/>
          <w:sz w:val="24"/>
        </w:rPr>
      </w:pPr>
    </w:p>
    <w:p>
      <w:pPr>
        <w:pStyle w:val="56"/>
        <w:spacing w:beforeLines="0" w:afterLines="0"/>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1"/>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 项目，并作出如下承诺：</w:t>
      </w:r>
    </w:p>
    <w:p>
      <w:pPr>
        <w:pStyle w:val="21"/>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我单位依法缴纳税收和员工社会保险，随时接受采购人的检查验证。如违反上述承诺，我单位将按照相关规定接受处罚，并通过媒体予以公布。</w:t>
      </w:r>
    </w:p>
    <w:p>
      <w:pPr>
        <w:pStyle w:val="21"/>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21"/>
        <w:spacing w:before="0" w:beforeAutospacing="0" w:after="0" w:afterAutospacing="0" w:line="360" w:lineRule="auto"/>
        <w:rPr>
          <w:rFonts w:hint="eastAsia" w:ascii="仿宋" w:hAnsi="仿宋" w:eastAsia="仿宋" w:cs="仿宋"/>
        </w:rPr>
      </w:pPr>
    </w:p>
    <w:p>
      <w:pPr>
        <w:pStyle w:val="56"/>
        <w:spacing w:before="46" w:after="46"/>
        <w:ind w:firstLine="480"/>
        <w:rPr>
          <w:rFonts w:hint="eastAsia" w:ascii="仿宋" w:hAnsi="仿宋" w:eastAsia="仿宋" w:cs="仿宋"/>
          <w:sz w:val="24"/>
        </w:rPr>
      </w:pPr>
      <w:r>
        <w:rPr>
          <w:rFonts w:hint="eastAsia" w:ascii="仿宋" w:hAnsi="仿宋" w:eastAsia="仿宋" w:cs="仿宋"/>
          <w:sz w:val="24"/>
        </w:rPr>
        <w:t xml:space="preserve"> 供应商名称（加盖公章）：</w:t>
      </w:r>
    </w:p>
    <w:p>
      <w:pPr>
        <w:pStyle w:val="56"/>
        <w:spacing w:before="46" w:after="46"/>
        <w:ind w:firstLine="48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ind w:firstLine="480"/>
        <w:rPr>
          <w:rFonts w:hint="eastAsia" w:ascii="仿宋" w:hAnsi="仿宋" w:eastAsia="仿宋" w:cs="仿宋"/>
          <w:sz w:val="24"/>
        </w:rPr>
      </w:pPr>
      <w:r>
        <w:rPr>
          <w:rFonts w:hint="eastAsia" w:ascii="仿宋" w:hAnsi="仿宋" w:eastAsia="仿宋" w:cs="仿宋"/>
          <w:sz w:val="24"/>
        </w:rPr>
        <w:t xml:space="preserve"> 日    期：</w:t>
      </w:r>
    </w:p>
    <w:p>
      <w:pPr>
        <w:pStyle w:val="56"/>
        <w:pageBreakBefore/>
        <w:spacing w:before="46" w:after="46"/>
        <w:ind w:firstLine="0" w:firstLineChars="0"/>
        <w:outlineLvl w:val="1"/>
        <w:rPr>
          <w:rFonts w:hint="eastAsia" w:ascii="仿宋" w:hAnsi="仿宋" w:eastAsia="仿宋" w:cs="仿宋"/>
          <w:b/>
          <w:sz w:val="30"/>
          <w:szCs w:val="30"/>
        </w:rPr>
      </w:pPr>
      <w:bookmarkStart w:id="68" w:name="_Toc15908"/>
      <w:bookmarkStart w:id="69" w:name="_Toc20934"/>
      <w:r>
        <w:rPr>
          <w:rFonts w:hint="eastAsia" w:ascii="仿宋" w:hAnsi="仿宋" w:eastAsia="仿宋" w:cs="仿宋"/>
          <w:b/>
          <w:bCs/>
          <w:sz w:val="30"/>
          <w:szCs w:val="30"/>
        </w:rPr>
        <w:t>格式6</w:t>
      </w:r>
      <w:r>
        <w:rPr>
          <w:rFonts w:hint="eastAsia" w:ascii="仿宋" w:hAnsi="仿宋" w:eastAsia="仿宋" w:cs="仿宋"/>
          <w:b/>
          <w:sz w:val="30"/>
          <w:szCs w:val="30"/>
        </w:rPr>
        <w:t>法定代表人/负责人授权委托书</w:t>
      </w:r>
      <w:bookmarkEnd w:id="66"/>
      <w:bookmarkEnd w:id="68"/>
      <w:r>
        <w:rPr>
          <w:rFonts w:hint="eastAsia" w:ascii="仿宋" w:hAnsi="仿宋" w:eastAsia="仿宋" w:cs="仿宋"/>
          <w:b/>
          <w:sz w:val="30"/>
          <w:szCs w:val="30"/>
        </w:rPr>
        <w:t>（实质性要求）</w:t>
      </w:r>
      <w:bookmarkEnd w:id="69"/>
    </w:p>
    <w:bookmarkEnd w:id="67"/>
    <w:p>
      <w:pPr>
        <w:pStyle w:val="6"/>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法定代表人/负责人授权委托书</w:t>
      </w:r>
    </w:p>
    <w:p>
      <w:pPr>
        <w:pStyle w:val="56"/>
        <w:spacing w:before="46" w:after="46"/>
        <w:ind w:firstLine="602"/>
        <w:rPr>
          <w:rFonts w:hint="eastAsia" w:ascii="仿宋" w:hAnsi="仿宋" w:eastAsia="仿宋" w:cs="仿宋"/>
          <w:b/>
          <w:sz w:val="30"/>
          <w:szCs w:val="30"/>
        </w:rPr>
      </w:pPr>
    </w:p>
    <w:p>
      <w:pPr>
        <w:widowControl/>
        <w:spacing w:line="360" w:lineRule="auto"/>
        <w:ind w:firstLine="472" w:firstLineChars="196"/>
        <w:jc w:val="left"/>
        <w:rPr>
          <w:rFonts w:hint="eastAsia" w:ascii="仿宋" w:hAnsi="仿宋" w:eastAsia="仿宋" w:cs="仿宋"/>
          <w:b/>
          <w:sz w:val="24"/>
        </w:rPr>
      </w:pP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 XXXX</w:t>
      </w:r>
      <w:r>
        <w:rPr>
          <w:rFonts w:hint="eastAsia" w:ascii="仿宋" w:hAnsi="仿宋" w:eastAsia="仿宋" w:cs="仿宋"/>
          <w:kern w:val="0"/>
          <w:sz w:val="24"/>
        </w:rPr>
        <w:t>（供应商名称）</w:t>
      </w:r>
      <w:r>
        <w:rPr>
          <w:rFonts w:hint="eastAsia" w:ascii="仿宋" w:hAnsi="仿宋" w:eastAsia="仿宋" w:cs="仿宋"/>
          <w:sz w:val="24"/>
          <w:u w:val="single"/>
        </w:rPr>
        <w:t>XXXX</w:t>
      </w:r>
      <w:r>
        <w:rPr>
          <w:rFonts w:hint="eastAsia" w:ascii="仿宋" w:hAnsi="仿宋" w:eastAsia="仿宋" w:cs="仿宋"/>
          <w:kern w:val="0"/>
          <w:sz w:val="24"/>
        </w:rPr>
        <w:t>（法定代表人/单位负责人姓名、职务）授权</w:t>
      </w:r>
      <w:r>
        <w:rPr>
          <w:rFonts w:hint="eastAsia" w:ascii="仿宋" w:hAnsi="仿宋" w:eastAsia="仿宋" w:cs="仿宋"/>
          <w:sz w:val="24"/>
          <w:u w:val="single"/>
        </w:rPr>
        <w:t>XXXX</w:t>
      </w:r>
      <w:r>
        <w:rPr>
          <w:rFonts w:hint="eastAsia" w:ascii="仿宋" w:hAnsi="仿宋" w:eastAsia="仿宋" w:cs="仿宋"/>
          <w:kern w:val="0"/>
          <w:sz w:val="24"/>
        </w:rPr>
        <w:t>（被授权人姓名、职务）为我方 “</w:t>
      </w:r>
      <w:r>
        <w:rPr>
          <w:rFonts w:hint="eastAsia" w:ascii="仿宋" w:hAnsi="仿宋" w:eastAsia="仿宋" w:cs="仿宋"/>
          <w:sz w:val="24"/>
          <w:u w:val="single"/>
        </w:rPr>
        <w:t>XXXX</w:t>
      </w:r>
      <w:r>
        <w:rPr>
          <w:rFonts w:hint="eastAsia" w:ascii="仿宋" w:hAnsi="仿宋" w:eastAsia="仿宋" w:cs="仿宋"/>
          <w:kern w:val="0"/>
          <w:sz w:val="24"/>
        </w:rPr>
        <w:t>” 项目采购活动的合法代表，以我方名义全权处理该项目有关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6"/>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授权日期：本授权书自年月日签字生效，有效期至年月日，特此声明。</w:t>
      </w: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pStyle w:val="56"/>
        <w:spacing w:before="46" w:after="46"/>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6"/>
        <w:spacing w:before="46" w:after="46"/>
        <w:ind w:firstLine="480"/>
        <w:rPr>
          <w:rFonts w:hint="eastAsia" w:ascii="仿宋" w:hAnsi="仿宋" w:eastAsia="仿宋" w:cs="仿宋"/>
          <w:sz w:val="24"/>
        </w:rPr>
      </w:pPr>
      <w:r>
        <w:rPr>
          <w:rFonts w:hint="eastAsia" w:ascii="仿宋" w:hAnsi="仿宋" w:eastAsia="仿宋" w:cs="仿宋"/>
          <w:sz w:val="24"/>
        </w:rPr>
        <w:t>授权代表签字：</w:t>
      </w:r>
    </w:p>
    <w:p>
      <w:pPr>
        <w:pStyle w:val="56"/>
        <w:spacing w:before="46" w:after="46"/>
        <w:ind w:firstLine="480"/>
        <w:rPr>
          <w:rFonts w:hint="eastAsia" w:ascii="仿宋" w:hAnsi="仿宋" w:eastAsia="仿宋" w:cs="仿宋"/>
          <w:sz w:val="24"/>
        </w:rPr>
      </w:pPr>
      <w:r>
        <w:rPr>
          <w:rFonts w:hint="eastAsia" w:ascii="仿宋" w:hAnsi="仿宋" w:eastAsia="仿宋" w:cs="仿宋"/>
          <w:sz w:val="24"/>
        </w:rPr>
        <w:t>供应商名称（单位盖章）：</w:t>
      </w:r>
    </w:p>
    <w:p>
      <w:pPr>
        <w:pStyle w:val="56"/>
        <w:spacing w:before="46" w:after="46"/>
        <w:ind w:firstLine="480"/>
        <w:rPr>
          <w:rFonts w:hint="eastAsia" w:ascii="仿宋" w:hAnsi="仿宋" w:eastAsia="仿宋" w:cs="仿宋"/>
          <w:sz w:val="24"/>
        </w:rPr>
      </w:pPr>
      <w:r>
        <w:rPr>
          <w:rFonts w:hint="eastAsia" w:ascii="仿宋" w:hAnsi="仿宋" w:eastAsia="仿宋" w:cs="仿宋"/>
          <w:sz w:val="24"/>
        </w:rPr>
        <w:t>日    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6"/>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70" w:name="_Toc14224"/>
      <w:bookmarkStart w:id="71" w:name="_Toc31375"/>
      <w:bookmarkStart w:id="72" w:name="技术偏离表"/>
      <w:bookmarkStart w:id="73" w:name="_Toc16167"/>
    </w:p>
    <w:p>
      <w:pPr>
        <w:pageBreakBefore/>
        <w:snapToGrid w:val="0"/>
        <w:spacing w:line="360" w:lineRule="auto"/>
        <w:outlineLvl w:val="1"/>
        <w:rPr>
          <w:rFonts w:hint="eastAsia" w:ascii="仿宋" w:hAnsi="仿宋" w:eastAsia="仿宋" w:cs="仿宋"/>
          <w:b/>
          <w:sz w:val="24"/>
        </w:rPr>
      </w:pPr>
      <w:bookmarkStart w:id="74" w:name="_Toc18876"/>
      <w:bookmarkStart w:id="75" w:name="_Toc29995"/>
      <w:r>
        <w:rPr>
          <w:rFonts w:hint="eastAsia" w:ascii="仿宋" w:hAnsi="仿宋" w:eastAsia="仿宋" w:cs="仿宋"/>
          <w:b/>
          <w:sz w:val="30"/>
          <w:szCs w:val="30"/>
        </w:rPr>
        <w:t xml:space="preserve">格式7 </w:t>
      </w:r>
      <w:bookmarkEnd w:id="70"/>
      <w:bookmarkEnd w:id="71"/>
      <w:bookmarkEnd w:id="72"/>
      <w:bookmarkEnd w:id="73"/>
      <w:bookmarkEnd w:id="74"/>
      <w:bookmarkEnd w:id="75"/>
      <w:r>
        <w:rPr>
          <w:rFonts w:hint="eastAsia" w:ascii="仿宋" w:hAnsi="仿宋" w:eastAsia="仿宋" w:cs="仿宋"/>
          <w:b/>
          <w:sz w:val="30"/>
          <w:szCs w:val="30"/>
        </w:rPr>
        <w:t>技术服务要求应答</w:t>
      </w:r>
    </w:p>
    <w:p>
      <w:pPr>
        <w:pStyle w:val="6"/>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8"/>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1.本表只填写响应文件中与</w:t>
      </w:r>
      <w:r>
        <w:rPr>
          <w:rFonts w:hint="eastAsia" w:ascii="仿宋" w:hAnsi="仿宋" w:eastAsia="仿宋" w:cs="仿宋"/>
          <w:spacing w:val="6"/>
          <w:sz w:val="24"/>
        </w:rPr>
        <w:t>磋商</w:t>
      </w:r>
      <w:r>
        <w:rPr>
          <w:rFonts w:hint="eastAsia" w:ascii="仿宋" w:hAnsi="仿宋" w:eastAsia="仿宋" w:cs="仿宋"/>
          <w:sz w:val="24"/>
        </w:rPr>
        <w:t>文件第四部分中的技术、服务要求有偏离（包括正偏离和负偏离）的内容，如与</w:t>
      </w:r>
      <w:r>
        <w:rPr>
          <w:rFonts w:hint="eastAsia" w:ascii="仿宋" w:hAnsi="仿宋" w:eastAsia="仿宋" w:cs="仿宋"/>
          <w:spacing w:val="6"/>
          <w:sz w:val="24"/>
        </w:rPr>
        <w:t>磋商</w:t>
      </w:r>
      <w:r>
        <w:rPr>
          <w:rFonts w:hint="eastAsia" w:ascii="仿宋" w:hAnsi="仿宋" w:eastAsia="仿宋" w:cs="仿宋"/>
          <w:sz w:val="24"/>
        </w:rPr>
        <w:t>文件第四部分中的技术、服务要求的所有条款无偏离，则无须在此表中应答，视为默认完全响应和接受招标文件所有技术参数要求，供应商不得以未作应答而拒不接受。</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2.供应商必须据实填写，不得虚假填写，</w:t>
      </w:r>
      <w:r>
        <w:rPr>
          <w:rFonts w:hint="eastAsia" w:ascii="仿宋" w:hAnsi="仿宋" w:eastAsia="仿宋" w:cs="仿宋"/>
          <w:bCs/>
          <w:sz w:val="24"/>
        </w:rPr>
        <w:t>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24" w:firstLineChars="177"/>
        <w:jc w:val="left"/>
        <w:rPr>
          <w:rFonts w:hint="eastAsia" w:ascii="仿宋" w:hAnsi="仿宋" w:eastAsia="仿宋" w:cs="仿宋"/>
          <w:sz w:val="24"/>
        </w:rPr>
      </w:pPr>
      <w:r>
        <w:rPr>
          <w:rFonts w:hint="eastAsia" w:ascii="仿宋" w:hAnsi="仿宋" w:eastAsia="仿宋" w:cs="仿宋"/>
          <w:sz w:val="24"/>
        </w:rPr>
        <w:t xml:space="preserve"> 法定代表人（单位负责人）或授权代表签字：</w:t>
      </w:r>
    </w:p>
    <w:p>
      <w:pPr>
        <w:spacing w:beforeLines="15" w:afterLines="15"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76" w:name="服务应答表"/>
    </w:p>
    <w:bookmarkEnd w:id="76"/>
    <w:p>
      <w:pPr>
        <w:pStyle w:val="36"/>
        <w:rPr>
          <w:rFonts w:hint="eastAsia" w:ascii="仿宋" w:hAnsi="仿宋" w:eastAsia="仿宋" w:cs="仿宋"/>
          <w:bCs/>
          <w:color w:val="auto"/>
        </w:rPr>
      </w:pPr>
    </w:p>
    <w:p>
      <w:pPr>
        <w:spacing w:beforeLines="15" w:afterLines="15" w:line="360" w:lineRule="auto"/>
        <w:ind w:firstLine="602" w:firstLineChars="200"/>
        <w:jc w:val="left"/>
        <w:outlineLvl w:val="1"/>
        <w:rPr>
          <w:rFonts w:hint="eastAsia" w:ascii="仿宋" w:hAnsi="仿宋" w:eastAsia="仿宋" w:cs="仿宋"/>
          <w:b/>
          <w:bCs/>
          <w:sz w:val="30"/>
          <w:szCs w:val="30"/>
        </w:rPr>
      </w:pPr>
      <w:bookmarkStart w:id="77" w:name="_Toc30703"/>
      <w:bookmarkStart w:id="78" w:name="_Toc6528"/>
      <w:bookmarkStart w:id="79" w:name="_Toc5153"/>
    </w:p>
    <w:p>
      <w:pPr>
        <w:spacing w:beforeLines="15" w:afterLines="15" w:line="360" w:lineRule="auto"/>
        <w:ind w:firstLine="602" w:firstLineChars="200"/>
        <w:jc w:val="left"/>
        <w:outlineLvl w:val="1"/>
        <w:rPr>
          <w:rFonts w:hint="eastAsia" w:ascii="仿宋" w:hAnsi="仿宋" w:eastAsia="仿宋" w:cs="仿宋"/>
          <w:b/>
          <w:bCs/>
          <w:sz w:val="30"/>
          <w:szCs w:val="30"/>
        </w:rPr>
      </w:pPr>
      <w:r>
        <w:rPr>
          <w:rFonts w:hint="eastAsia" w:ascii="仿宋" w:hAnsi="仿宋" w:eastAsia="仿宋" w:cs="仿宋"/>
          <w:b/>
          <w:bCs/>
          <w:sz w:val="30"/>
          <w:szCs w:val="30"/>
        </w:rPr>
        <w:t>格式8 商务偏离表</w:t>
      </w:r>
      <w:bookmarkEnd w:id="77"/>
      <w:bookmarkEnd w:id="78"/>
      <w:bookmarkEnd w:id="79"/>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商务偏离表</w:t>
      </w:r>
    </w:p>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8"/>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45"/>
        <w:gridCol w:w="294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6"/>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645" w:type="dxa"/>
            <w:vAlign w:val="center"/>
          </w:tcPr>
          <w:p>
            <w:pPr>
              <w:pStyle w:val="6"/>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磋商文件要求（详见磋商文件第四部）</w:t>
            </w:r>
          </w:p>
        </w:tc>
        <w:tc>
          <w:tcPr>
            <w:tcW w:w="2940" w:type="dxa"/>
            <w:vAlign w:val="center"/>
          </w:tcPr>
          <w:p>
            <w:pPr>
              <w:pStyle w:val="6"/>
              <w:tabs>
                <w:tab w:val="left" w:pos="6880"/>
              </w:tabs>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p>
        </w:tc>
        <w:tc>
          <w:tcPr>
            <w:tcW w:w="2190" w:type="dxa"/>
            <w:vAlign w:val="center"/>
          </w:tcPr>
          <w:p>
            <w:pPr>
              <w:pStyle w:val="6"/>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6"/>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645"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6"/>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645"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6"/>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645"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6"/>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645"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6"/>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645"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6"/>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注：1.本表只填写响应文件中与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文件第四部分中的商务及其他要求有偏离（包括正偏离和负偏离）的内容，如与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文件第四部分中的商务及其他要求的所有条款无偏离，则无须在此表中应答，视为默认完全响应和接受</w:t>
      </w:r>
      <w:r>
        <w:rPr>
          <w:rFonts w:hint="eastAsia" w:ascii="仿宋" w:hAnsi="仿宋" w:eastAsia="仿宋" w:cs="仿宋"/>
          <w:spacing w:val="6"/>
          <w:sz w:val="24"/>
        </w:rPr>
        <w:t>磋商</w:t>
      </w:r>
      <w:r>
        <w:rPr>
          <w:rFonts w:hint="eastAsia" w:ascii="仿宋" w:hAnsi="仿宋" w:eastAsia="仿宋" w:cs="仿宋"/>
          <w:bCs/>
          <w:sz w:val="24"/>
        </w:rPr>
        <w:t>文件所有商务和其他要求，供应商不得以未作应答而拒不接受。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2.供应商必须据实填写，不得虚假填写，否则将取消其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left="420" w:firstLine="420"/>
        <w:jc w:val="left"/>
        <w:rPr>
          <w:rFonts w:hint="eastAsia" w:ascii="仿宋" w:hAnsi="仿宋" w:eastAsia="仿宋" w:cs="仿宋"/>
          <w:sz w:val="24"/>
        </w:rPr>
      </w:pPr>
    </w:p>
    <w:p>
      <w:pPr>
        <w:spacing w:line="360" w:lineRule="auto"/>
        <w:rPr>
          <w:rFonts w:hint="eastAsia" w:ascii="仿宋" w:hAnsi="仿宋" w:eastAsia="仿宋" w:cs="仿宋"/>
          <w:sz w:val="24"/>
        </w:rPr>
      </w:pPr>
    </w:p>
    <w:p>
      <w:pPr>
        <w:adjustRightInd w:val="0"/>
        <w:spacing w:line="360" w:lineRule="auto"/>
        <w:ind w:firstLine="420" w:firstLineChars="175"/>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供应商名称（加盖公章）：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日    期:</w:t>
      </w:r>
    </w:p>
    <w:p>
      <w:pPr>
        <w:pStyle w:val="56"/>
        <w:pageBreakBefore/>
        <w:spacing w:before="46" w:after="46"/>
        <w:ind w:firstLine="0" w:firstLineChars="0"/>
        <w:outlineLvl w:val="1"/>
        <w:rPr>
          <w:rFonts w:hint="eastAsia" w:ascii="仿宋" w:hAnsi="仿宋" w:eastAsia="仿宋" w:cs="仿宋"/>
          <w:b/>
          <w:kern w:val="2"/>
          <w:sz w:val="30"/>
          <w:szCs w:val="30"/>
        </w:rPr>
      </w:pPr>
      <w:bookmarkStart w:id="80" w:name="_Toc21321"/>
      <w:bookmarkStart w:id="81" w:name="_Toc17759"/>
      <w:bookmarkStart w:id="82" w:name="_Toc28095"/>
      <w:bookmarkStart w:id="83" w:name="_Toc32155"/>
      <w:bookmarkStart w:id="84" w:name="_Toc8397"/>
      <w:bookmarkStart w:id="85" w:name="_Toc20280"/>
      <w:r>
        <w:rPr>
          <w:rFonts w:hint="eastAsia" w:ascii="仿宋" w:hAnsi="仿宋" w:eastAsia="仿宋" w:cs="仿宋"/>
          <w:b/>
          <w:kern w:val="2"/>
          <w:sz w:val="30"/>
          <w:szCs w:val="30"/>
        </w:rPr>
        <w:t>格式9 承诺书</w:t>
      </w:r>
      <w:bookmarkEnd w:id="80"/>
      <w:bookmarkEnd w:id="81"/>
      <w:bookmarkEnd w:id="82"/>
      <w:bookmarkEnd w:id="83"/>
      <w:bookmarkEnd w:id="84"/>
      <w:bookmarkEnd w:id="85"/>
    </w:p>
    <w:p>
      <w:pPr>
        <w:spacing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承诺书</w:t>
      </w:r>
    </w:p>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XXXXXXXXX（公司名称）作为参加本次采购活动的供应商，现本公司郑重承诺：</w:t>
      </w:r>
    </w:p>
    <w:p>
      <w:pPr>
        <w:pStyle w:val="21"/>
        <w:spacing w:before="0" w:beforeAutospacing="0" w:after="0" w:afterAutospacing="0" w:line="360" w:lineRule="auto"/>
        <w:rPr>
          <w:rFonts w:hint="eastAsia" w:ascii="仿宋" w:hAnsi="仿宋" w:eastAsia="仿宋" w:cs="仿宋"/>
        </w:rPr>
      </w:pPr>
      <w:r>
        <w:rPr>
          <w:rFonts w:hint="eastAsia" w:ascii="仿宋" w:hAnsi="仿宋" w:eastAsia="仿宋" w:cs="仿宋"/>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pPr>
        <w:pStyle w:val="21"/>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pStyle w:val="56"/>
        <w:spacing w:before="46" w:after="46" w:line="480" w:lineRule="auto"/>
        <w:ind w:firstLine="0" w:firstLineChars="0"/>
        <w:rPr>
          <w:rFonts w:hint="eastAsia" w:ascii="仿宋" w:hAnsi="仿宋" w:eastAsia="仿宋" w:cs="仿宋"/>
          <w:bCs/>
          <w:sz w:val="24"/>
        </w:rPr>
      </w:pPr>
    </w:p>
    <w:p>
      <w:pPr>
        <w:pStyle w:val="56"/>
        <w:spacing w:before="46" w:after="46" w:line="480" w:lineRule="auto"/>
        <w:ind w:firstLine="0" w:firstLineChars="0"/>
        <w:rPr>
          <w:rFonts w:hint="eastAsia" w:ascii="仿宋" w:hAnsi="仿宋" w:eastAsia="仿宋" w:cs="仿宋"/>
          <w:bCs/>
          <w:sz w:val="24"/>
        </w:rPr>
      </w:pPr>
    </w:p>
    <w:p>
      <w:pPr>
        <w:pageBreakBefore/>
        <w:snapToGrid w:val="0"/>
        <w:spacing w:beforeLines="15" w:afterLines="15" w:line="360" w:lineRule="auto"/>
        <w:outlineLvl w:val="1"/>
        <w:rPr>
          <w:rFonts w:hint="eastAsia" w:ascii="仿宋" w:hAnsi="仿宋" w:eastAsia="仿宋" w:cs="仿宋"/>
          <w:b/>
          <w:sz w:val="30"/>
          <w:szCs w:val="30"/>
        </w:rPr>
        <w:sectPr>
          <w:headerReference r:id="rId7" w:type="default"/>
          <w:footerReference r:id="rId8" w:type="default"/>
          <w:footerReference r:id="rId9" w:type="even"/>
          <w:pgSz w:w="11906" w:h="16838"/>
          <w:pgMar w:top="1928" w:right="1474" w:bottom="1247" w:left="1531" w:header="851" w:footer="1134" w:gutter="0"/>
          <w:cols w:space="720" w:num="1"/>
          <w:docGrid w:type="lines" w:linePitch="312" w:charSpace="0"/>
        </w:sectPr>
      </w:pPr>
      <w:bookmarkStart w:id="86" w:name="_Toc5169"/>
      <w:bookmarkStart w:id="87" w:name="_Toc20604"/>
      <w:bookmarkStart w:id="88" w:name="_Toc8313"/>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10 </w:t>
      </w:r>
      <w:r>
        <w:rPr>
          <w:rFonts w:hint="eastAsia" w:ascii="仿宋" w:hAnsi="仿宋" w:eastAsia="仿宋" w:cs="仿宋"/>
          <w:b/>
          <w:bCs/>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z w:val="30"/>
          <w:szCs w:val="30"/>
        </w:rPr>
        <w:t>的设备和专业技术能力的承诺函</w:t>
      </w:r>
    </w:p>
    <w:p>
      <w:pPr>
        <w:pStyle w:val="2"/>
        <w:rPr>
          <w:rFonts w:hint="eastAsia"/>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pacing w:val="6"/>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pacing w:val="6"/>
          <w:sz w:val="30"/>
          <w:szCs w:val="30"/>
        </w:rPr>
        <w:t>的设备和专业技术能力的</w:t>
      </w:r>
      <w:r>
        <w:rPr>
          <w:rFonts w:hint="eastAsia" w:ascii="仿宋" w:hAnsi="仿宋" w:eastAsia="仿宋" w:cs="仿宋"/>
          <w:b/>
          <w:bCs/>
          <w:sz w:val="30"/>
          <w:szCs w:val="30"/>
        </w:rPr>
        <w:t>承诺函</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致：内江市第二人民医院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我单位具有履行合同所必</w:t>
      </w:r>
      <w:r>
        <w:rPr>
          <w:rFonts w:hint="eastAsia" w:ascii="仿宋" w:hAnsi="仿宋" w:eastAsia="仿宋" w:cs="仿宋"/>
          <w:sz w:val="24"/>
          <w:lang w:eastAsia="zh-CN"/>
        </w:rPr>
        <w:t>需</w:t>
      </w:r>
      <w:r>
        <w:rPr>
          <w:rFonts w:hint="eastAsia" w:ascii="仿宋" w:hAnsi="仿宋" w:eastAsia="仿宋" w:cs="仿宋"/>
          <w:sz w:val="24"/>
        </w:rPr>
        <w:t>的设备和专业技术能力，如违反上述承诺，我单位将按照相关规定接受处罚，并通过媒体予以公布。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pStyle w:val="2"/>
        <w:rPr>
          <w:rFonts w:hint="eastAsia" w:ascii="仿宋" w:hAnsi="仿宋" w:eastAsia="仿宋" w:cs="仿宋"/>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jc w:val="center"/>
        <w:outlineLvl w:val="0"/>
        <w:rPr>
          <w:rFonts w:hint="eastAsia" w:ascii="仿宋" w:hAnsi="仿宋" w:eastAsia="仿宋" w:cs="仿宋"/>
          <w:b/>
          <w:sz w:val="28"/>
          <w:szCs w:val="28"/>
        </w:rPr>
      </w:pPr>
    </w:p>
    <w:p>
      <w:pPr>
        <w:pStyle w:val="2"/>
        <w:rPr>
          <w:rFonts w:hint="eastAsia"/>
        </w:rPr>
      </w:pPr>
    </w:p>
    <w:p>
      <w:pPr>
        <w:pStyle w:val="4"/>
        <w:rPr>
          <w:rFonts w:hint="eastAsia" w:ascii="仿宋" w:hAnsi="仿宋" w:eastAsia="仿宋" w:cs="仿宋"/>
          <w:b/>
          <w:bCs/>
        </w:rPr>
      </w:pPr>
    </w:p>
    <w:p>
      <w:pPr>
        <w:pStyle w:val="27"/>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footerReference r:id="rId10" w:type="default"/>
          <w:pgSz w:w="11906" w:h="16838"/>
          <w:pgMar w:top="1928" w:right="1474" w:bottom="1247" w:left="1474" w:header="851" w:footer="964" w:gutter="0"/>
          <w:cols w:space="720" w:num="1"/>
          <w:docGrid w:type="lines" w:linePitch="312" w:charSpace="0"/>
        </w:sectPr>
      </w:pPr>
    </w:p>
    <w:bookmarkEnd w:id="86"/>
    <w:bookmarkEnd w:id="87"/>
    <w:bookmarkEnd w:id="88"/>
    <w:p>
      <w:pPr>
        <w:pageBreakBefore/>
        <w:spacing w:line="360" w:lineRule="auto"/>
        <w:outlineLvl w:val="1"/>
        <w:rPr>
          <w:rFonts w:hint="eastAsia" w:ascii="仿宋" w:hAnsi="仿宋" w:eastAsia="仿宋" w:cs="仿宋"/>
          <w:b/>
          <w:bCs/>
          <w:sz w:val="30"/>
          <w:szCs w:val="30"/>
        </w:rPr>
      </w:pPr>
      <w:bookmarkStart w:id="89" w:name="_Toc6916"/>
      <w:bookmarkStart w:id="90" w:name="_Toc31114"/>
      <w:bookmarkStart w:id="91" w:name="_Toc27655"/>
      <w:r>
        <w:rPr>
          <w:rFonts w:hint="eastAsia" w:ascii="仿宋" w:hAnsi="仿宋" w:eastAsia="仿宋" w:cs="仿宋"/>
          <w:b/>
          <w:bCs/>
          <w:sz w:val="30"/>
          <w:szCs w:val="30"/>
        </w:rPr>
        <w:t>格式11</w:t>
      </w:r>
      <w:r>
        <w:rPr>
          <w:rFonts w:hint="eastAsia" w:ascii="仿宋" w:hAnsi="仿宋" w:eastAsia="仿宋" w:cs="仿宋"/>
          <w:b/>
          <w:bCs/>
          <w:sz w:val="30"/>
          <w:szCs w:val="30"/>
          <w:lang w:val="en-US" w:eastAsia="zh-CN"/>
        </w:rPr>
        <w:t xml:space="preserve">  </w:t>
      </w:r>
      <w:bookmarkEnd w:id="89"/>
      <w:bookmarkEnd w:id="90"/>
      <w:bookmarkEnd w:id="91"/>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首轮报价表</w:t>
      </w:r>
    </w:p>
    <w:p>
      <w:pPr>
        <w:adjustRightIn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首轮报价表</w:t>
      </w:r>
    </w:p>
    <w:p>
      <w:pPr>
        <w:spacing w:before="76" w:line="223" w:lineRule="auto"/>
        <w:ind w:left="606"/>
        <w:rPr>
          <w:rFonts w:hint="eastAsia" w:ascii="仿宋" w:hAnsi="仿宋" w:eastAsia="仿宋" w:cs="仿宋"/>
          <w:sz w:val="24"/>
        </w:rPr>
      </w:pPr>
    </w:p>
    <w:p>
      <w:pPr>
        <w:pStyle w:val="27"/>
        <w:ind w:firstLine="482"/>
        <w:rPr>
          <w:rFonts w:hint="eastAsia" w:ascii="仿宋" w:hAnsi="仿宋" w:eastAsia="仿宋" w:cs="仿宋"/>
          <w:sz w:val="24"/>
        </w:rPr>
      </w:pPr>
    </w:p>
    <w:tbl>
      <w:tblPr>
        <w:tblStyle w:val="29"/>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首轮报价</w:t>
            </w:r>
          </w:p>
          <w:p>
            <w:pPr>
              <w:autoSpaceDE/>
              <w:autoSpaceDN/>
              <w:snapToGrid/>
              <w:spacing w:before="0" w:after="0"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8"/>
        <w:jc w:val="both"/>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ind w:firstLine="480" w:firstLineChars="200"/>
        <w:jc w:val="left"/>
        <w:rPr>
          <w:rFonts w:hint="eastAsia" w:ascii="仿宋" w:hAnsi="仿宋" w:eastAsia="仿宋" w:cs="仿宋"/>
          <w:spacing w:val="6"/>
          <w:sz w:val="24"/>
          <w:lang w:val="en-US" w:eastAsia="zh-CN"/>
        </w:rPr>
      </w:pPr>
      <w:r>
        <w:rPr>
          <w:rFonts w:hint="eastAsia" w:ascii="仿宋" w:hAnsi="仿宋" w:eastAsia="仿宋" w:cs="仿宋"/>
          <w:sz w:val="24"/>
        </w:rPr>
        <w:t>注：1</w:t>
      </w:r>
      <w:r>
        <w:rPr>
          <w:rFonts w:hint="eastAsia" w:ascii="仿宋" w:hAnsi="仿宋" w:eastAsia="仿宋" w:cs="仿宋"/>
          <w:spacing w:val="6"/>
          <w:sz w:val="24"/>
          <w:lang w:val="en-US" w:eastAsia="zh-CN"/>
        </w:rPr>
        <w:t>本项目报价为人民币报价，报价为包干价。报价包括但不仅限于：人工劳务、设备投入、利润、风险、保险、税金等完成本项目的一切费用，采购人不再支付除本项目合同金额外的任何费用。</w:t>
      </w:r>
    </w:p>
    <w:p>
      <w:pPr>
        <w:adjustRightInd w:val="0"/>
        <w:ind w:firstLine="480" w:firstLineChars="200"/>
        <w:jc w:val="left"/>
        <w:rPr>
          <w:rFonts w:hint="eastAsia" w:ascii="仿宋" w:hAnsi="仿宋" w:eastAsia="仿宋" w:cs="仿宋"/>
          <w:sz w:val="24"/>
        </w:rPr>
      </w:pPr>
      <w:r>
        <w:rPr>
          <w:rFonts w:hint="eastAsia" w:ascii="仿宋" w:hAnsi="仿宋" w:eastAsia="仿宋" w:cs="仿宋"/>
          <w:sz w:val="24"/>
        </w:rPr>
        <w:t>2.此表是响应文件的必要文件，是响应文件的组成部分。</w:t>
      </w:r>
    </w:p>
    <w:p>
      <w:pPr>
        <w:adjustRightInd w:val="0"/>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3.报价应是最终用户验收合格后的该项目或者该包总价，所有价格均应予人民币报价，金额单位为元。</w:t>
      </w:r>
    </w:p>
    <w:p>
      <w:pPr>
        <w:rPr>
          <w:rFonts w:hint="eastAsia"/>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spacing w:line="360" w:lineRule="auto"/>
        <w:ind w:firstLine="480" w:firstLineChars="200"/>
        <w:rPr>
          <w:rFonts w:hint="eastAsia" w:ascii="仿宋" w:hAnsi="仿宋" w:eastAsia="仿宋" w:cs="仿宋"/>
          <w:sz w:val="24"/>
        </w:rPr>
      </w:pPr>
    </w:p>
    <w:p>
      <w:pPr>
        <w:pStyle w:val="56"/>
        <w:spacing w:before="36" w:after="36" w:line="480" w:lineRule="auto"/>
        <w:ind w:firstLine="0" w:firstLineChars="0"/>
        <w:rPr>
          <w:rFonts w:hint="eastAsia" w:ascii="仿宋" w:hAnsi="仿宋" w:eastAsia="仿宋" w:cs="仿宋"/>
          <w:bCs/>
          <w:sz w:val="24"/>
        </w:rPr>
      </w:pPr>
    </w:p>
    <w:p>
      <w:pPr>
        <w:rPr>
          <w:rFonts w:hint="eastAsia" w:ascii="仿宋" w:hAnsi="仿宋" w:eastAsia="仿宋" w:cs="仿宋"/>
          <w:b/>
          <w:sz w:val="30"/>
          <w:szCs w:val="30"/>
        </w:rPr>
      </w:pPr>
    </w:p>
    <w:p>
      <w:pPr>
        <w:pageBreakBefore/>
        <w:spacing w:line="360" w:lineRule="auto"/>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格式12  分项报价明细表</w:t>
      </w:r>
    </w:p>
    <w:p>
      <w:pPr>
        <w:jc w:val="center"/>
        <w:rPr>
          <w:rFonts w:hint="eastAsia" w:ascii="仿宋" w:hAnsi="仿宋" w:eastAsia="仿宋" w:cs="仿宋"/>
          <w:sz w:val="24"/>
          <w:lang w:val="en-US" w:eastAsia="zh-CN"/>
        </w:rPr>
      </w:pPr>
    </w:p>
    <w:p>
      <w:pPr>
        <w:jc w:val="center"/>
        <w:rPr>
          <w:rFonts w:hint="eastAsia" w:ascii="仿宋" w:hAnsi="仿宋" w:eastAsia="仿宋" w:cs="仿宋"/>
          <w:sz w:val="24"/>
          <w:highlight w:val="none"/>
          <w:lang w:val="en-US" w:eastAsia="zh-CN"/>
        </w:rPr>
      </w:pPr>
      <w:r>
        <w:rPr>
          <w:rFonts w:hint="eastAsia" w:ascii="仿宋" w:hAnsi="仿宋" w:eastAsia="仿宋" w:cs="仿宋"/>
          <w:sz w:val="24"/>
          <w:lang w:val="en-US" w:eastAsia="zh-CN"/>
        </w:rPr>
        <w:t>分项报价明细表</w:t>
      </w:r>
      <w:r>
        <w:rPr>
          <w:rFonts w:hint="eastAsia" w:ascii="仿宋" w:hAnsi="仿宋" w:eastAsia="仿宋" w:cs="仿宋"/>
          <w:sz w:val="24"/>
          <w:highlight w:val="none"/>
          <w:lang w:val="en-US" w:eastAsia="zh-CN"/>
        </w:rPr>
        <w:t>（如涉及）</w:t>
      </w:r>
    </w:p>
    <w:p>
      <w:pPr>
        <w:jc w:val="center"/>
        <w:rPr>
          <w:rFonts w:hint="eastAsia" w:ascii="仿宋" w:hAnsi="仿宋" w:eastAsia="仿宋" w:cs="仿宋"/>
          <w:sz w:val="24"/>
          <w:highlight w:val="none"/>
          <w:lang w:val="en-US" w:eastAsia="zh-CN"/>
        </w:rPr>
      </w:pPr>
    </w:p>
    <w:tbl>
      <w:tblPr>
        <w:tblStyle w:val="29"/>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20"/>
        <w:gridCol w:w="723"/>
        <w:gridCol w:w="806"/>
        <w:gridCol w:w="1529"/>
        <w:gridCol w:w="1296"/>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tcPr>
          <w:p>
            <w:pPr>
              <w:spacing w:line="360" w:lineRule="auto"/>
              <w:jc w:val="center"/>
              <w:rPr>
                <w:rFonts w:ascii="仿宋" w:hAnsi="仿宋" w:eastAsia="仿宋"/>
                <w:sz w:val="24"/>
              </w:rPr>
            </w:pPr>
            <w:r>
              <w:rPr>
                <w:rFonts w:hint="eastAsia" w:ascii="仿宋" w:hAnsi="仿宋" w:eastAsia="仿宋"/>
                <w:sz w:val="24"/>
              </w:rPr>
              <w:t>序号</w:t>
            </w:r>
          </w:p>
        </w:tc>
        <w:tc>
          <w:tcPr>
            <w:tcW w:w="1720" w:type="dxa"/>
          </w:tcPr>
          <w:p>
            <w:pPr>
              <w:spacing w:line="360" w:lineRule="auto"/>
              <w:jc w:val="center"/>
              <w:rPr>
                <w:rFonts w:ascii="仿宋" w:hAnsi="仿宋" w:eastAsia="仿宋"/>
                <w:sz w:val="24"/>
              </w:rPr>
            </w:pPr>
            <w:r>
              <w:rPr>
                <w:rFonts w:hint="eastAsia" w:ascii="仿宋" w:hAnsi="仿宋" w:eastAsia="仿宋"/>
                <w:sz w:val="24"/>
              </w:rPr>
              <w:t>整改内容</w:t>
            </w:r>
          </w:p>
        </w:tc>
        <w:tc>
          <w:tcPr>
            <w:tcW w:w="723" w:type="dxa"/>
          </w:tcPr>
          <w:p>
            <w:pPr>
              <w:spacing w:line="360" w:lineRule="auto"/>
              <w:jc w:val="center"/>
              <w:rPr>
                <w:rFonts w:ascii="仿宋" w:hAnsi="仿宋" w:eastAsia="仿宋"/>
                <w:sz w:val="24"/>
              </w:rPr>
            </w:pPr>
            <w:r>
              <w:rPr>
                <w:rFonts w:hint="eastAsia" w:ascii="仿宋" w:hAnsi="仿宋" w:eastAsia="仿宋"/>
                <w:sz w:val="24"/>
              </w:rPr>
              <w:t>单位</w:t>
            </w:r>
          </w:p>
        </w:tc>
        <w:tc>
          <w:tcPr>
            <w:tcW w:w="806" w:type="dxa"/>
          </w:tcPr>
          <w:p>
            <w:pPr>
              <w:spacing w:line="360" w:lineRule="auto"/>
              <w:jc w:val="center"/>
              <w:rPr>
                <w:rFonts w:ascii="仿宋" w:hAnsi="仿宋" w:eastAsia="仿宋"/>
                <w:sz w:val="24"/>
              </w:rPr>
            </w:pPr>
            <w:r>
              <w:rPr>
                <w:rFonts w:hint="eastAsia" w:ascii="仿宋" w:hAnsi="仿宋" w:eastAsia="仿宋"/>
                <w:sz w:val="24"/>
              </w:rPr>
              <w:t>数量</w:t>
            </w:r>
          </w:p>
        </w:tc>
        <w:tc>
          <w:tcPr>
            <w:tcW w:w="1529" w:type="dxa"/>
          </w:tcPr>
          <w:p>
            <w:pPr>
              <w:spacing w:line="360" w:lineRule="auto"/>
              <w:jc w:val="center"/>
              <w:rPr>
                <w:rFonts w:hint="eastAsia" w:ascii="仿宋" w:hAnsi="仿宋" w:eastAsia="仿宋" w:cs="Times New Roman"/>
                <w:sz w:val="24"/>
              </w:rPr>
            </w:pPr>
            <w:r>
              <w:rPr>
                <w:rFonts w:hint="eastAsia" w:ascii="仿宋" w:hAnsi="仿宋" w:eastAsia="仿宋" w:cs="Times New Roman"/>
                <w:sz w:val="24"/>
              </w:rPr>
              <w:t>单价</w:t>
            </w:r>
            <w:r>
              <w:rPr>
                <w:rFonts w:hint="eastAsia" w:ascii="仿宋" w:hAnsi="仿宋" w:eastAsia="仿宋" w:cs="Times New Roman"/>
                <w:sz w:val="24"/>
                <w:lang w:val="en-US" w:eastAsia="zh-CN"/>
              </w:rPr>
              <w:t>报价</w:t>
            </w:r>
            <w:r>
              <w:rPr>
                <w:rFonts w:hint="eastAsia" w:ascii="仿宋" w:hAnsi="仿宋" w:eastAsia="仿宋" w:cs="Times New Roman"/>
                <w:sz w:val="24"/>
              </w:rPr>
              <w:t>(元)</w:t>
            </w:r>
          </w:p>
        </w:tc>
        <w:tc>
          <w:tcPr>
            <w:tcW w:w="1296" w:type="dxa"/>
          </w:tcPr>
          <w:p>
            <w:pPr>
              <w:spacing w:line="360" w:lineRule="auto"/>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小计（元）</w:t>
            </w:r>
          </w:p>
        </w:tc>
        <w:tc>
          <w:tcPr>
            <w:tcW w:w="2865" w:type="dxa"/>
          </w:tcPr>
          <w:p>
            <w:pPr>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风机更换</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806"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风机改造辅材</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项</w:t>
            </w:r>
          </w:p>
        </w:tc>
        <w:tc>
          <w:tcPr>
            <w:tcW w:w="806"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风机改造人工</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项</w:t>
            </w:r>
          </w:p>
        </w:tc>
        <w:tc>
          <w:tcPr>
            <w:tcW w:w="806"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lang w:val="en-US" w:eastAsia="zh-CN"/>
              </w:rPr>
            </w:pPr>
          </w:p>
        </w:tc>
        <w:tc>
          <w:tcPr>
            <w:tcW w:w="2865" w:type="dxa"/>
            <w:vAlign w:val="center"/>
          </w:tcPr>
          <w:p>
            <w:pPr>
              <w:spacing w:line="360" w:lineRule="auto"/>
              <w:jc w:val="center"/>
              <w:rPr>
                <w:rFonts w:hint="eastAsia"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风机房隔音处置</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平米</w:t>
            </w:r>
          </w:p>
        </w:tc>
        <w:tc>
          <w:tcPr>
            <w:tcW w:w="806" w:type="dxa"/>
            <w:vAlign w:val="center"/>
          </w:tcPr>
          <w:p>
            <w:pPr>
              <w:spacing w:line="360" w:lineRule="auto"/>
              <w:jc w:val="center"/>
              <w:rPr>
                <w:rFonts w:ascii="仿宋" w:hAnsi="仿宋" w:eastAsia="仿宋"/>
                <w:sz w:val="24"/>
              </w:rPr>
            </w:pPr>
            <w:r>
              <w:rPr>
                <w:rFonts w:ascii="仿宋" w:hAnsi="仿宋" w:eastAsia="仿宋"/>
                <w:sz w:val="24"/>
              </w:rPr>
              <w:t>75</w:t>
            </w: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风机房空调安装 （1.</w:t>
            </w:r>
            <w:r>
              <w:rPr>
                <w:rFonts w:ascii="仿宋" w:hAnsi="仿宋" w:eastAsia="仿宋"/>
                <w:sz w:val="24"/>
              </w:rPr>
              <w:t>5P</w:t>
            </w:r>
            <w:r>
              <w:rPr>
                <w:rFonts w:hint="eastAsia" w:ascii="仿宋" w:hAnsi="仿宋" w:eastAsia="仿宋"/>
                <w:sz w:val="24"/>
              </w:rPr>
              <w:t>）</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806"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529" w:type="dxa"/>
            <w:vAlign w:val="center"/>
          </w:tcPr>
          <w:p>
            <w:pPr>
              <w:spacing w:line="360" w:lineRule="auto"/>
              <w:jc w:val="center"/>
              <w:rPr>
                <w:rFonts w:hint="default" w:ascii="仿宋" w:hAnsi="仿宋" w:eastAsia="仿宋" w:cs="Times New Roman"/>
                <w:sz w:val="24"/>
                <w:lang w:val="en-US" w:eastAsia="zh-CN"/>
              </w:rPr>
            </w:pPr>
          </w:p>
        </w:tc>
        <w:tc>
          <w:tcPr>
            <w:tcW w:w="1296" w:type="dxa"/>
            <w:vAlign w:val="center"/>
          </w:tcPr>
          <w:p>
            <w:pPr>
              <w:spacing w:line="360" w:lineRule="auto"/>
              <w:jc w:val="center"/>
              <w:rPr>
                <w:rFonts w:hint="eastAsia" w:ascii="仿宋" w:hAnsi="仿宋" w:eastAsia="仿宋" w:cs="Times New Roman"/>
                <w:sz w:val="24"/>
                <w:lang w:val="en-US" w:eastAsia="zh-CN"/>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1720" w:type="dxa"/>
            <w:vAlign w:val="center"/>
          </w:tcPr>
          <w:p>
            <w:pPr>
              <w:spacing w:line="360" w:lineRule="auto"/>
              <w:jc w:val="center"/>
              <w:rPr>
                <w:rFonts w:ascii="仿宋" w:hAnsi="仿宋" w:eastAsia="仿宋"/>
                <w:sz w:val="24"/>
              </w:rPr>
            </w:pPr>
            <w:r>
              <w:rPr>
                <w:rFonts w:hint="eastAsia" w:ascii="仿宋" w:hAnsi="仿宋" w:eastAsia="仿宋"/>
                <w:sz w:val="24"/>
              </w:rPr>
              <w:t>风机房增加外排风机</w:t>
            </w:r>
          </w:p>
        </w:tc>
        <w:tc>
          <w:tcPr>
            <w:tcW w:w="723"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806"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17" w:type="dxa"/>
            <w:gridSpan w:val="7"/>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合计金额：</w:t>
            </w:r>
            <w:r>
              <w:rPr>
                <w:rFonts w:hint="eastAsia" w:ascii="仿宋" w:hAnsi="仿宋" w:eastAsia="仿宋"/>
                <w:sz w:val="24"/>
                <w:u w:val="single"/>
                <w:lang w:val="en-US" w:eastAsia="zh-CN"/>
              </w:rPr>
              <w:t xml:space="preserve">          </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 xml:space="preserve">大写：                  </w:t>
            </w:r>
            <w:r>
              <w:rPr>
                <w:rFonts w:hint="eastAsia" w:ascii="仿宋" w:hAnsi="仿宋" w:eastAsia="仿宋"/>
                <w:sz w:val="24"/>
                <w:lang w:eastAsia="zh-CN"/>
              </w:rPr>
              <w:t>）</w:t>
            </w:r>
          </w:p>
        </w:tc>
      </w:tr>
    </w:tbl>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注：1.此表为格式模板，供应商可根据实际情况填写或者不填写，若未填写也不做无效响应；</w:t>
      </w:r>
    </w:p>
    <w:p>
      <w:pPr>
        <w:adjustRightInd w:val="0"/>
        <w:ind w:firstLine="960" w:firstLineChars="400"/>
        <w:jc w:val="left"/>
        <w:rPr>
          <w:rFonts w:hint="default" w:ascii="仿宋" w:hAnsi="仿宋" w:eastAsia="仿宋" w:cs="仿宋"/>
          <w:sz w:val="24"/>
          <w:lang w:val="en-US" w:eastAsia="zh-CN"/>
        </w:rPr>
      </w:pPr>
      <w:r>
        <w:rPr>
          <w:rFonts w:hint="eastAsia" w:ascii="仿宋" w:hAnsi="仿宋" w:eastAsia="仿宋" w:cs="仿宋"/>
          <w:sz w:val="24"/>
          <w:lang w:val="en-US" w:eastAsia="zh-CN"/>
        </w:rPr>
        <w:t>2.若填写，此表中报价金额合计应与首轮报价表中的报价金额一致。</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jc w:val="center"/>
        <w:rPr>
          <w:rFonts w:hint="eastAsia" w:ascii="仿宋" w:hAnsi="仿宋" w:eastAsia="仿宋" w:cs="仿宋"/>
          <w:sz w:val="24"/>
        </w:rPr>
      </w:pPr>
      <w:r>
        <w:rPr>
          <w:rFonts w:hint="eastAsia" w:ascii="仿宋" w:hAnsi="仿宋" w:eastAsia="仿宋" w:cs="仿宋"/>
          <w:sz w:val="24"/>
        </w:rPr>
        <w:br w:type="page"/>
      </w:r>
    </w:p>
    <w:bookmarkEnd w:id="44"/>
    <w:bookmarkEnd w:id="45"/>
    <w:p>
      <w:pPr>
        <w:pStyle w:val="4"/>
        <w:numPr>
          <w:ilvl w:val="0"/>
          <w:numId w:val="0"/>
        </w:numPr>
        <w:jc w:val="center"/>
        <w:rPr>
          <w:rFonts w:hint="eastAsia" w:ascii="仿宋" w:hAnsi="仿宋" w:eastAsia="仿宋" w:cs="仿宋"/>
        </w:rPr>
      </w:pPr>
      <w:bookmarkStart w:id="92" w:name="_Toc7884"/>
      <w:r>
        <w:rPr>
          <w:rFonts w:hint="eastAsia" w:ascii="仿宋" w:hAnsi="仿宋" w:eastAsia="仿宋" w:cs="仿宋"/>
          <w:lang w:val="en-US" w:eastAsia="zh-CN"/>
        </w:rPr>
        <w:t xml:space="preserve">第四部分 </w:t>
      </w:r>
      <w:r>
        <w:rPr>
          <w:rFonts w:hint="eastAsia" w:ascii="仿宋" w:hAnsi="仿宋" w:eastAsia="仿宋" w:cs="仿宋"/>
        </w:rPr>
        <w:t>采购项目技术服务及其他商务要求</w:t>
      </w:r>
      <w:bookmarkEnd w:id="92"/>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spacing w:val="6"/>
          <w:sz w:val="24"/>
          <w:lang w:val="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项目概述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rPr>
      </w:pPr>
      <w:r>
        <w:rPr>
          <w:rFonts w:hint="eastAsia" w:ascii="仿宋" w:hAnsi="仿宋" w:eastAsia="仿宋" w:cs="仿宋"/>
          <w:spacing w:val="6"/>
          <w:sz w:val="24"/>
          <w:lang w:val="zh-CN"/>
        </w:rPr>
        <w:t>本项目共一个包，</w:t>
      </w:r>
      <w:r>
        <w:rPr>
          <w:rFonts w:hint="eastAsia" w:ascii="仿宋" w:hAnsi="仿宋" w:eastAsia="仿宋" w:cs="仿宋"/>
          <w:spacing w:val="6"/>
          <w:sz w:val="24"/>
          <w:lang w:val="en-US" w:eastAsia="zh-CN"/>
        </w:rPr>
        <w:t>因工作需要，</w:t>
      </w:r>
      <w:r>
        <w:rPr>
          <w:rFonts w:hint="eastAsia" w:ascii="仿宋" w:hAnsi="仿宋" w:eastAsia="仿宋" w:cs="仿宋"/>
          <w:spacing w:val="6"/>
          <w:sz w:val="24"/>
          <w:u w:val="none"/>
          <w:lang w:val="en-US" w:eastAsia="zh-CN"/>
        </w:rPr>
        <w:t>内江市第二人民医院需对新门诊大楼污水处理站进行局部改造，现通过院内竞争性磋商的方式选定一名</w:t>
      </w:r>
      <w:r>
        <w:rPr>
          <w:rFonts w:hint="eastAsia" w:ascii="仿宋" w:hAnsi="仿宋" w:eastAsia="仿宋" w:cs="仿宋"/>
          <w:spacing w:val="6"/>
          <w:sz w:val="24"/>
        </w:rPr>
        <w:t>供应商</w:t>
      </w:r>
      <w:r>
        <w:rPr>
          <w:rFonts w:hint="eastAsia" w:ascii="仿宋" w:hAnsi="仿宋" w:eastAsia="仿宋" w:cs="仿宋"/>
          <w:spacing w:val="6"/>
          <w:sz w:val="24"/>
          <w:lang w:val="zh-CN"/>
        </w:rPr>
        <w:t>按</w:t>
      </w:r>
      <w:r>
        <w:rPr>
          <w:rFonts w:hint="eastAsia" w:ascii="仿宋" w:hAnsi="仿宋" w:eastAsia="仿宋" w:cs="仿宋"/>
          <w:spacing w:val="6"/>
          <w:sz w:val="24"/>
        </w:rPr>
        <w:t>采购</w:t>
      </w:r>
      <w:r>
        <w:rPr>
          <w:rFonts w:hint="eastAsia" w:ascii="仿宋" w:hAnsi="仿宋" w:eastAsia="仿宋" w:cs="仿宋"/>
          <w:spacing w:val="6"/>
          <w:sz w:val="24"/>
          <w:lang w:val="zh-CN"/>
        </w:rPr>
        <w:t>人要求</w:t>
      </w:r>
      <w:r>
        <w:rPr>
          <w:rFonts w:hint="eastAsia" w:ascii="仿宋" w:hAnsi="仿宋" w:eastAsia="仿宋" w:cs="仿宋"/>
          <w:spacing w:val="6"/>
          <w:sz w:val="24"/>
          <w:lang w:val="en-US" w:eastAsia="zh-CN"/>
        </w:rPr>
        <w:t>对污水处理站进行</w:t>
      </w:r>
      <w:r>
        <w:rPr>
          <w:rFonts w:hint="eastAsia" w:ascii="仿宋" w:hAnsi="仿宋" w:eastAsia="仿宋" w:cs="仿宋"/>
          <w:spacing w:val="6"/>
          <w:sz w:val="24"/>
          <w:u w:val="none"/>
          <w:lang w:val="en-US" w:eastAsia="zh-CN"/>
        </w:rPr>
        <w:t>局部</w:t>
      </w:r>
      <w:r>
        <w:rPr>
          <w:rFonts w:hint="eastAsia" w:ascii="仿宋" w:hAnsi="仿宋" w:eastAsia="仿宋" w:cs="仿宋"/>
          <w:spacing w:val="6"/>
          <w:sz w:val="24"/>
          <w:lang w:val="en-US" w:eastAsia="zh-CN"/>
        </w:rPr>
        <w:t>改造</w:t>
      </w:r>
      <w:r>
        <w:rPr>
          <w:rFonts w:hint="eastAsia" w:ascii="仿宋" w:hAnsi="仿宋" w:eastAsia="仿宋" w:cs="仿宋"/>
          <w:spacing w:val="6"/>
          <w:sz w:val="24"/>
          <w:lang w:val="zh-CN"/>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default" w:ascii="仿宋" w:hAnsi="仿宋" w:eastAsia="仿宋" w:cs="仿宋"/>
          <w:b/>
          <w:bCs/>
          <w:sz w:val="24"/>
          <w:lang w:val="en-US"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bCs/>
          <w:sz w:val="24"/>
        </w:rPr>
        <w:t>二、项目要求及内容</w:t>
      </w:r>
    </w:p>
    <w:tbl>
      <w:tblPr>
        <w:tblStyle w:val="29"/>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067"/>
        <w:gridCol w:w="869"/>
        <w:gridCol w:w="968"/>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4" w:type="dxa"/>
          </w:tcPr>
          <w:p>
            <w:pPr>
              <w:spacing w:line="360" w:lineRule="auto"/>
              <w:jc w:val="center"/>
              <w:rPr>
                <w:rFonts w:ascii="仿宋" w:hAnsi="仿宋" w:eastAsia="仿宋"/>
                <w:sz w:val="24"/>
              </w:rPr>
            </w:pPr>
            <w:r>
              <w:rPr>
                <w:rFonts w:hint="eastAsia" w:ascii="仿宋" w:hAnsi="仿宋" w:eastAsia="仿宋"/>
                <w:sz w:val="24"/>
              </w:rPr>
              <w:t>序号</w:t>
            </w:r>
          </w:p>
        </w:tc>
        <w:tc>
          <w:tcPr>
            <w:tcW w:w="2067" w:type="dxa"/>
          </w:tcPr>
          <w:p>
            <w:pPr>
              <w:spacing w:line="360" w:lineRule="auto"/>
              <w:jc w:val="center"/>
              <w:rPr>
                <w:rFonts w:ascii="仿宋" w:hAnsi="仿宋" w:eastAsia="仿宋"/>
                <w:sz w:val="24"/>
              </w:rPr>
            </w:pPr>
            <w:r>
              <w:rPr>
                <w:rFonts w:hint="eastAsia" w:ascii="仿宋" w:hAnsi="仿宋" w:eastAsia="仿宋"/>
                <w:sz w:val="24"/>
              </w:rPr>
              <w:t>整改内容</w:t>
            </w:r>
          </w:p>
        </w:tc>
        <w:tc>
          <w:tcPr>
            <w:tcW w:w="869" w:type="dxa"/>
          </w:tcPr>
          <w:p>
            <w:pPr>
              <w:spacing w:line="360" w:lineRule="auto"/>
              <w:jc w:val="center"/>
              <w:rPr>
                <w:rFonts w:ascii="仿宋" w:hAnsi="仿宋" w:eastAsia="仿宋"/>
                <w:sz w:val="24"/>
              </w:rPr>
            </w:pPr>
            <w:r>
              <w:rPr>
                <w:rFonts w:hint="eastAsia" w:ascii="仿宋" w:hAnsi="仿宋" w:eastAsia="仿宋"/>
                <w:sz w:val="24"/>
              </w:rPr>
              <w:t>单位</w:t>
            </w:r>
          </w:p>
        </w:tc>
        <w:tc>
          <w:tcPr>
            <w:tcW w:w="968" w:type="dxa"/>
          </w:tcPr>
          <w:p>
            <w:pPr>
              <w:spacing w:line="360" w:lineRule="auto"/>
              <w:jc w:val="center"/>
              <w:rPr>
                <w:rFonts w:ascii="仿宋" w:hAnsi="仿宋" w:eastAsia="仿宋"/>
                <w:sz w:val="24"/>
              </w:rPr>
            </w:pPr>
            <w:r>
              <w:rPr>
                <w:rFonts w:hint="eastAsia" w:ascii="仿宋" w:hAnsi="仿宋" w:eastAsia="仿宋"/>
                <w:sz w:val="24"/>
              </w:rPr>
              <w:t>数量</w:t>
            </w:r>
          </w:p>
        </w:tc>
        <w:tc>
          <w:tcPr>
            <w:tcW w:w="3239" w:type="dxa"/>
          </w:tcPr>
          <w:p>
            <w:pPr>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风机更换</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968"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239"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更换为1</w:t>
            </w:r>
            <w:r>
              <w:rPr>
                <w:rFonts w:ascii="仿宋" w:hAnsi="仿宋" w:eastAsia="仿宋"/>
                <w:sz w:val="24"/>
              </w:rPr>
              <w:t>1KV</w:t>
            </w:r>
            <w:r>
              <w:rPr>
                <w:rFonts w:hint="eastAsia" w:ascii="仿宋" w:hAnsi="仿宋" w:eastAsia="仿宋"/>
                <w:sz w:val="24"/>
              </w:rPr>
              <w:t>风机</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风机改造辅材</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项</w:t>
            </w:r>
          </w:p>
        </w:tc>
        <w:tc>
          <w:tcPr>
            <w:tcW w:w="96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239" w:type="dxa"/>
            <w:vAlign w:val="center"/>
          </w:tcPr>
          <w:p>
            <w:pPr>
              <w:spacing w:line="360" w:lineRule="auto"/>
              <w:jc w:val="left"/>
              <w:rPr>
                <w:rFonts w:hint="eastAsia" w:ascii="仿宋" w:hAnsi="仿宋" w:eastAsia="仿宋"/>
                <w:sz w:val="24"/>
                <w:lang w:eastAsia="zh-CN"/>
              </w:rPr>
            </w:pPr>
            <w:r>
              <w:rPr>
                <w:rFonts w:hint="eastAsia" w:ascii="仿宋" w:hAnsi="仿宋" w:eastAsia="仿宋"/>
                <w:sz w:val="24"/>
              </w:rPr>
              <w:t>管道、阀栏及其配件</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风机改造人工</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项</w:t>
            </w:r>
          </w:p>
        </w:tc>
        <w:tc>
          <w:tcPr>
            <w:tcW w:w="96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239" w:type="dxa"/>
            <w:vAlign w:val="center"/>
          </w:tcPr>
          <w:p>
            <w:pPr>
              <w:spacing w:line="360" w:lineRule="auto"/>
              <w:jc w:val="left"/>
              <w:rPr>
                <w:rFonts w:hint="eastAsia" w:ascii="仿宋" w:hAnsi="仿宋" w:eastAsia="仿宋"/>
                <w:sz w:val="24"/>
                <w:lang w:val="en-US" w:eastAsia="zh-CN"/>
              </w:rPr>
            </w:pPr>
            <w:r>
              <w:rPr>
                <w:rFonts w:hint="eastAsia" w:ascii="仿宋" w:hAnsi="仿宋" w:eastAsia="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风机房隔音处置</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平米</w:t>
            </w:r>
          </w:p>
        </w:tc>
        <w:tc>
          <w:tcPr>
            <w:tcW w:w="968" w:type="dxa"/>
            <w:vAlign w:val="center"/>
          </w:tcPr>
          <w:p>
            <w:pPr>
              <w:spacing w:line="360" w:lineRule="auto"/>
              <w:jc w:val="center"/>
              <w:rPr>
                <w:rFonts w:ascii="仿宋" w:hAnsi="仿宋" w:eastAsia="仿宋"/>
                <w:sz w:val="24"/>
              </w:rPr>
            </w:pPr>
            <w:r>
              <w:rPr>
                <w:rFonts w:ascii="仿宋" w:hAnsi="仿宋" w:eastAsia="仿宋"/>
                <w:sz w:val="24"/>
              </w:rPr>
              <w:t>75</w:t>
            </w:r>
          </w:p>
        </w:tc>
        <w:tc>
          <w:tcPr>
            <w:tcW w:w="3239" w:type="dxa"/>
            <w:vAlign w:val="center"/>
          </w:tcPr>
          <w:p>
            <w:pPr>
              <w:spacing w:line="360" w:lineRule="auto"/>
              <w:jc w:val="left"/>
              <w:rPr>
                <w:rFonts w:hint="eastAsia" w:ascii="仿宋" w:hAnsi="仿宋" w:eastAsia="仿宋"/>
                <w:sz w:val="24"/>
                <w:lang w:eastAsia="zh-CN"/>
              </w:rPr>
            </w:pPr>
            <w:r>
              <w:rPr>
                <w:rFonts w:hint="eastAsia" w:ascii="仿宋" w:hAnsi="仿宋" w:eastAsia="仿宋"/>
                <w:sz w:val="24"/>
              </w:rPr>
              <w:t>材料：隔音棉、龙骨、石膏板、墙体仿磁挂白、搬运及人工等</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风机房空调安装 （1.</w:t>
            </w:r>
            <w:r>
              <w:rPr>
                <w:rFonts w:ascii="仿宋" w:hAnsi="仿宋" w:eastAsia="仿宋"/>
                <w:sz w:val="24"/>
              </w:rPr>
              <w:t>5P</w:t>
            </w:r>
            <w:r>
              <w:rPr>
                <w:rFonts w:hint="eastAsia" w:ascii="仿宋" w:hAnsi="仿宋" w:eastAsia="仿宋"/>
                <w:sz w:val="24"/>
              </w:rPr>
              <w:t>）</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96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239" w:type="dxa"/>
            <w:vAlign w:val="center"/>
          </w:tcPr>
          <w:p>
            <w:pPr>
              <w:spacing w:line="360" w:lineRule="auto"/>
              <w:jc w:val="left"/>
              <w:rPr>
                <w:rFonts w:ascii="仿宋" w:hAnsi="仿宋" w:eastAsia="仿宋"/>
                <w:sz w:val="24"/>
              </w:rPr>
            </w:pPr>
            <w:r>
              <w:rPr>
                <w:rFonts w:hint="eastAsia" w:ascii="仿宋" w:hAnsi="仿宋" w:eastAsia="仿宋"/>
                <w:sz w:val="24"/>
                <w:lang w:val="en-US" w:eastAsia="zh-CN"/>
              </w:rPr>
              <w:t>空调由医院中转库房移机。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34"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2067" w:type="dxa"/>
            <w:vAlign w:val="center"/>
          </w:tcPr>
          <w:p>
            <w:pPr>
              <w:spacing w:line="360" w:lineRule="auto"/>
              <w:jc w:val="center"/>
              <w:rPr>
                <w:rFonts w:ascii="仿宋" w:hAnsi="仿宋" w:eastAsia="仿宋"/>
                <w:sz w:val="24"/>
              </w:rPr>
            </w:pPr>
            <w:r>
              <w:rPr>
                <w:rFonts w:hint="eastAsia" w:ascii="仿宋" w:hAnsi="仿宋" w:eastAsia="仿宋"/>
                <w:sz w:val="24"/>
              </w:rPr>
              <w:t>风机房增加外排风机</w:t>
            </w:r>
          </w:p>
        </w:tc>
        <w:tc>
          <w:tcPr>
            <w:tcW w:w="869"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96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239" w:type="dxa"/>
            <w:vAlign w:val="center"/>
          </w:tcPr>
          <w:p>
            <w:pPr>
              <w:spacing w:line="360" w:lineRule="auto"/>
              <w:jc w:val="left"/>
              <w:rPr>
                <w:rFonts w:hint="eastAsia" w:ascii="仿宋" w:hAnsi="仿宋" w:eastAsia="仿宋"/>
                <w:sz w:val="24"/>
                <w:lang w:eastAsia="zh-CN"/>
              </w:rPr>
            </w:pPr>
            <w:r>
              <w:rPr>
                <w:rFonts w:hint="eastAsia" w:ascii="仿宋" w:hAnsi="仿宋" w:eastAsia="仿宋"/>
                <w:sz w:val="24"/>
              </w:rPr>
              <w:t>含排风扇、墙体开孔、相关材料及人工</w:t>
            </w:r>
            <w:r>
              <w:rPr>
                <w:rFonts w:hint="eastAsia" w:ascii="仿宋" w:hAnsi="仿宋" w:eastAsia="仿宋"/>
                <w:sz w:val="24"/>
                <w:lang w:eastAsia="zh-CN"/>
              </w:rPr>
              <w:t>。</w:t>
            </w:r>
          </w:p>
        </w:tc>
      </w:tr>
    </w:tbl>
    <w:p>
      <w:pPr>
        <w:rPr>
          <w:rFonts w:hint="eastAsia" w:ascii="仿宋" w:hAnsi="仿宋" w:eastAsia="仿宋" w:cs="仿宋"/>
          <w:b/>
          <w:bCs/>
          <w:sz w:val="32"/>
          <w:szCs w:val="32"/>
        </w:rPr>
      </w:pPr>
    </w:p>
    <w:p>
      <w:pPr>
        <w:pStyle w:val="2"/>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★三、服务要</w:t>
      </w:r>
      <w:r>
        <w:rPr>
          <w:rFonts w:hint="eastAsia" w:ascii="仿宋" w:hAnsi="仿宋" w:eastAsia="仿宋" w:cs="仿宋"/>
          <w:b/>
          <w:bCs/>
          <w:sz w:val="24"/>
          <w:lang w:val="en-US" w:eastAsia="zh-CN"/>
        </w:rPr>
        <w:t>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1.在履行合同过程中，由成交供应商自行负责和承担相关安全责任，采购人不承担任何安全责任，也不承担发生安全事故产生的任何责任。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2.运输要求：成交供应商应使用可靠的包装形式以保证设备运输安全，若在运输过程中发生任何意外或损失成交供应商应承担全部损失和费用。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3.本项目报价为人民币报价，报价为包干价。报价包括但不仅限于：人工劳务、设备投入、利润、风险、保险、税金等完成本项目的一切费用，采购人不再支付除本项目合同金额外的任何费用。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4.成交供应商</w:t>
      </w:r>
      <w:r>
        <w:rPr>
          <w:rFonts w:hint="default" w:ascii="仿宋" w:hAnsi="仿宋" w:eastAsia="仿宋" w:cs="仿宋"/>
          <w:spacing w:val="6"/>
          <w:sz w:val="24"/>
          <w:lang w:val="en-US" w:eastAsia="zh-CN"/>
        </w:rPr>
        <w:t xml:space="preserve">必须保证提供的货物是全新的、未使用过的，具有稳定性、可靠性、安全性，并完全符合国家及行业规定的质量、规格和性能要求等技术标准。 </w:t>
      </w:r>
    </w:p>
    <w:p>
      <w:pPr>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★四、商务要求</w:t>
      </w:r>
    </w:p>
    <w:p>
      <w:pPr>
        <w:keepNext w:val="0"/>
        <w:keepLines w:val="0"/>
        <w:pageBreakBefore w:val="0"/>
        <w:widowControl w:val="0"/>
        <w:kinsoku/>
        <w:wordWrap/>
        <w:overflowPunct/>
        <w:topLinePunct w:val="0"/>
        <w:autoSpaceDE/>
        <w:autoSpaceDN/>
        <w:bidi w:val="0"/>
        <w:adjustRightInd/>
        <w:snapToGrid/>
        <w:spacing w:line="576" w:lineRule="exact"/>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1.服务期限：自合同签订之日起10日内完成。</w:t>
      </w:r>
    </w:p>
    <w:p>
      <w:pPr>
        <w:keepNext w:val="0"/>
        <w:keepLines w:val="0"/>
        <w:pageBreakBefore w:val="0"/>
        <w:widowControl w:val="0"/>
        <w:kinsoku/>
        <w:wordWrap/>
        <w:overflowPunct/>
        <w:topLinePunct w:val="0"/>
        <w:autoSpaceDE/>
        <w:autoSpaceDN/>
        <w:bidi w:val="0"/>
        <w:adjustRightInd/>
        <w:snapToGrid/>
        <w:spacing w:line="576" w:lineRule="exact"/>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2.服务地点：采购人指定地点。</w:t>
      </w:r>
    </w:p>
    <w:p>
      <w:pPr>
        <w:keepNext w:val="0"/>
        <w:keepLines w:val="0"/>
        <w:pageBreakBefore w:val="0"/>
        <w:widowControl w:val="0"/>
        <w:kinsoku/>
        <w:wordWrap/>
        <w:overflowPunct/>
        <w:topLinePunct w:val="0"/>
        <w:autoSpaceDE/>
        <w:autoSpaceDN/>
        <w:bidi w:val="0"/>
        <w:adjustRightInd/>
        <w:snapToGrid/>
        <w:spacing w:line="576" w:lineRule="exact"/>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3.付款方式：待成交供应商完成本项目并验收合格后15个工作日内支付合同金额的100%。</w:t>
      </w:r>
      <w:r>
        <w:rPr>
          <w:rFonts w:hint="eastAsia" w:ascii="仿宋" w:hAnsi="仿宋" w:eastAsia="仿宋" w:cs="仿宋"/>
          <w:b/>
          <w:bCs/>
          <w:color w:val="auto"/>
          <w:spacing w:val="0"/>
          <w:kern w:val="2"/>
          <w:sz w:val="24"/>
          <w:szCs w:val="24"/>
          <w:highlight w:val="none"/>
          <w:lang w:val="en-US" w:eastAsia="zh-CN" w:bidi="ar-SA"/>
        </w:rPr>
        <w:t>（注：采购人付款前成交供应商须出具等额的有效增值税发票。）</w:t>
      </w:r>
    </w:p>
    <w:p>
      <w:pPr>
        <w:keepNext w:val="0"/>
        <w:keepLines w:val="0"/>
        <w:pageBreakBefore w:val="0"/>
        <w:widowControl w:val="0"/>
        <w:kinsoku/>
        <w:wordWrap/>
        <w:overflowPunct/>
        <w:topLinePunct w:val="0"/>
        <w:autoSpaceDE/>
        <w:autoSpaceDN/>
        <w:bidi w:val="0"/>
        <w:adjustRightInd/>
        <w:snapToGrid/>
        <w:spacing w:line="576" w:lineRule="exact"/>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4.验收要求：严格按照磋商文件的质量要求和技术指标、成交供应商的响应文件及承诺以及合同约定标准进行验收。</w:t>
      </w:r>
    </w:p>
    <w:p>
      <w:pPr>
        <w:keepNext w:val="0"/>
        <w:keepLines w:val="0"/>
        <w:pageBreakBefore w:val="0"/>
        <w:widowControl w:val="0"/>
        <w:kinsoku/>
        <w:wordWrap/>
        <w:overflowPunct/>
        <w:topLinePunct w:val="0"/>
        <w:autoSpaceDE/>
        <w:autoSpaceDN/>
        <w:bidi w:val="0"/>
        <w:adjustRightInd/>
        <w:snapToGrid/>
        <w:spacing w:line="576" w:lineRule="exact"/>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6.其他未尽事宜以采购合同中约定为准。</w:t>
      </w:r>
    </w:p>
    <w:p>
      <w:pPr>
        <w:pStyle w:val="25"/>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rPr>
          <w:rFonts w:hint="eastAsia" w:ascii="仿宋" w:hAnsi="仿宋" w:eastAsia="仿宋" w:cs="仿宋"/>
          <w:color w:val="auto"/>
          <w:spacing w:val="0"/>
          <w:kern w:val="2"/>
          <w:sz w:val="24"/>
          <w:szCs w:val="24"/>
          <w:highlight w:val="none"/>
          <w:lang w:val="en-US" w:eastAsia="zh-CN" w:bidi="ar-SA"/>
        </w:rPr>
        <w:sectPr>
          <w:pgSz w:w="11910" w:h="16840"/>
          <w:pgMar w:top="1760" w:right="1474" w:bottom="1180" w:left="1474" w:header="871" w:footer="1000" w:gutter="0"/>
          <w:cols w:space="720" w:num="1"/>
        </w:sectPr>
      </w:pPr>
      <w:r>
        <w:rPr>
          <w:rFonts w:hint="eastAsia" w:ascii="仿宋" w:hAnsi="仿宋" w:eastAsia="仿宋" w:cs="仿宋"/>
          <w:b/>
          <w:bCs/>
          <w:color w:val="auto"/>
          <w:spacing w:val="0"/>
          <w:kern w:val="2"/>
          <w:sz w:val="24"/>
          <w:szCs w:val="24"/>
          <w:highlight w:val="none"/>
          <w:lang w:val="en-US" w:eastAsia="zh-CN" w:bidi="ar-SA"/>
        </w:rPr>
        <w:t>注：以上带“★”项内容为本次采购项目的实质性要求，供应商须在响应文件中全部满足，若不满足或负偏离作无效响应文件处理。</w:t>
      </w:r>
    </w:p>
    <w:p>
      <w:pPr>
        <w:pStyle w:val="4"/>
        <w:numPr>
          <w:ilvl w:val="0"/>
          <w:numId w:val="0"/>
        </w:numPr>
        <w:jc w:val="center"/>
        <w:rPr>
          <w:rFonts w:hint="eastAsia" w:ascii="仿宋" w:hAnsi="仿宋" w:eastAsia="仿宋" w:cs="仿宋"/>
        </w:rPr>
      </w:pPr>
      <w:bookmarkStart w:id="93" w:name="_Toc546"/>
      <w:bookmarkStart w:id="94" w:name="_Toc13804_WPSOffice_Level1"/>
      <w:bookmarkStart w:id="95" w:name="_Toc4436_WPSOffice_Level1"/>
      <w:bookmarkStart w:id="96" w:name="_Toc8006_WPSOffice_Level1"/>
      <w:bookmarkStart w:id="97" w:name="_Toc18089"/>
      <w:bookmarkStart w:id="98" w:name="_Toc23207"/>
      <w:bookmarkStart w:id="99" w:name="_Toc3901_WPSOffice_Level1"/>
      <w:r>
        <w:rPr>
          <w:rFonts w:hint="eastAsia" w:ascii="仿宋" w:hAnsi="仿宋" w:eastAsia="仿宋" w:cs="仿宋"/>
          <w:lang w:val="en-US" w:eastAsia="zh-CN"/>
        </w:rPr>
        <w:t xml:space="preserve">第五部分  </w:t>
      </w:r>
      <w:r>
        <w:rPr>
          <w:rFonts w:hint="eastAsia" w:ascii="仿宋" w:hAnsi="仿宋" w:eastAsia="仿宋" w:cs="仿宋"/>
        </w:rPr>
        <w:t>评分标准</w:t>
      </w:r>
      <w:bookmarkEnd w:id="9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5.1评选委员会应当根据自身专业情况对每个有效供应商的响应文件进行评价、打分，共同评分因素由评选委员会成员共同评分。</w:t>
      </w:r>
    </w:p>
    <w:p>
      <w:pPr>
        <w:pStyle w:val="2"/>
        <w:ind w:firstLine="480" w:firstLineChars="200"/>
        <w:rPr>
          <w:rFonts w:hint="eastAsia" w:ascii="仿宋" w:hAnsi="仿宋" w:eastAsia="仿宋" w:cs="仿宋"/>
          <w:sz w:val="24"/>
        </w:rPr>
      </w:pPr>
      <w:r>
        <w:rPr>
          <w:rFonts w:hint="eastAsia" w:ascii="仿宋" w:hAnsi="仿宋" w:eastAsia="仿宋" w:cs="仿宋"/>
          <w:sz w:val="24"/>
        </w:rPr>
        <w:t>5.2综合评分明细表</w:t>
      </w:r>
    </w:p>
    <w:tbl>
      <w:tblPr>
        <w:tblStyle w:val="28"/>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865"/>
        <w:gridCol w:w="793"/>
        <w:gridCol w:w="545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65"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4"/>
                <w:szCs w:val="24"/>
              </w:rPr>
            </w:pPr>
            <w:r>
              <w:rPr>
                <w:rFonts w:hint="eastAsia" w:ascii="仿宋" w:hAnsi="仿宋" w:eastAsia="仿宋" w:cs="仿宋"/>
                <w:sz w:val="24"/>
                <w:szCs w:val="24"/>
              </w:rPr>
              <w:t>评分因素</w:t>
            </w:r>
          </w:p>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4"/>
                <w:szCs w:val="24"/>
              </w:rPr>
            </w:pPr>
            <w:r>
              <w:rPr>
                <w:rFonts w:hint="eastAsia" w:ascii="仿宋" w:hAnsi="仿宋" w:eastAsia="仿宋" w:cs="仿宋"/>
                <w:sz w:val="24"/>
                <w:szCs w:val="24"/>
              </w:rPr>
              <w:t>及权重</w:t>
            </w:r>
          </w:p>
        </w:tc>
        <w:tc>
          <w:tcPr>
            <w:tcW w:w="793" w:type="dxa"/>
            <w:vAlign w:val="center"/>
          </w:tcPr>
          <w:p>
            <w:pPr>
              <w:keepNext w:val="0"/>
              <w:keepLines w:val="0"/>
              <w:pageBreakBefore w:val="0"/>
              <w:kinsoku/>
              <w:wordWrap/>
              <w:overflowPunct/>
              <w:topLinePunct w:val="0"/>
              <w:bidi w:val="0"/>
              <w:snapToGrid/>
              <w:spacing w:line="320" w:lineRule="exact"/>
              <w:ind w:firstLine="28"/>
              <w:jc w:val="both"/>
              <w:rPr>
                <w:rFonts w:hint="eastAsia" w:ascii="仿宋" w:hAnsi="仿宋" w:eastAsia="仿宋" w:cs="仿宋"/>
                <w:sz w:val="24"/>
                <w:szCs w:val="24"/>
              </w:rPr>
            </w:pPr>
            <w:r>
              <w:rPr>
                <w:rFonts w:hint="eastAsia" w:ascii="仿宋" w:hAnsi="仿宋" w:eastAsia="仿宋" w:cs="仿宋"/>
                <w:sz w:val="24"/>
                <w:szCs w:val="24"/>
              </w:rPr>
              <w:t>分值</w:t>
            </w:r>
          </w:p>
        </w:tc>
        <w:tc>
          <w:tcPr>
            <w:tcW w:w="5455"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47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rPr>
            </w:pPr>
          </w:p>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rPr>
            </w:pPr>
          </w:p>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w:t>
            </w:r>
          </w:p>
        </w:tc>
        <w:tc>
          <w:tcPr>
            <w:tcW w:w="1865"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p>
        </w:tc>
        <w:tc>
          <w:tcPr>
            <w:tcW w:w="793" w:type="dxa"/>
            <w:vAlign w:val="center"/>
          </w:tcPr>
          <w:p>
            <w:pPr>
              <w:keepNext w:val="0"/>
              <w:keepLines w:val="0"/>
              <w:pageBreakBefore w:val="0"/>
              <w:kinsoku/>
              <w:wordWrap/>
              <w:overflowPunct/>
              <w:topLinePunct w:val="0"/>
              <w:bidi w:val="0"/>
              <w:snapToGrid/>
              <w:spacing w:line="320" w:lineRule="exact"/>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分</w:t>
            </w:r>
          </w:p>
        </w:tc>
        <w:tc>
          <w:tcPr>
            <w:tcW w:w="5455"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满足磋商文件要求且全部报价中价格最低的最终报价为评审基准价。</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其他供应商的价格分统一按照下列公式计算:</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报价得分=(评审基准价／最终报价)×</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100</w:t>
            </w:r>
            <w:r>
              <w:rPr>
                <w:rFonts w:hint="eastAsia" w:ascii="仿宋" w:hAnsi="仿宋" w:eastAsia="仿宋" w:cs="仿宋"/>
                <w:color w:val="000000"/>
                <w:sz w:val="24"/>
                <w:szCs w:val="24"/>
                <w:lang w:eastAsia="zh-CN"/>
              </w:rPr>
              <w:t>。</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865"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项目实施方案30%</w:t>
            </w:r>
          </w:p>
        </w:tc>
        <w:tc>
          <w:tcPr>
            <w:tcW w:w="793"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30分</w:t>
            </w:r>
          </w:p>
        </w:tc>
        <w:tc>
          <w:tcPr>
            <w:tcW w:w="5455" w:type="dxa"/>
            <w:vAlign w:val="top"/>
          </w:tcPr>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根据供应商提供的项目实施方案进行评审,包括但不限于以下内容：①供货保障措施、②运输安装方案、③质量保证措施、④工作流程方案、⑤风险管理方案等。</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五项方案内容完全满足项目要求并且详细、切实可行的得20分，每缺一项扣4分；每项内容中每有一处有缺陷（缺陷是指方案存在不适用项目实际情况的情形、套用其它方案、凭空编造、逻辑漏洞、科学原理错误、不可能实现的夸大情形、内容过于简单、无实质性内容等情况）的扣1分，直至本项分值扣完为止。</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在此得分的基础上，若上述①-⑤项方案内容清晰完善并且合理可行的每有一项加2分，最多可加10分。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本项满分30分,不提供或不满足不得分。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000000"/>
                <w:sz w:val="24"/>
                <w:szCs w:val="24"/>
              </w:rPr>
            </w:pPr>
            <w:r>
              <w:rPr>
                <w:rFonts w:hint="default" w:ascii="仿宋" w:hAnsi="仿宋" w:eastAsia="仿宋" w:cs="仿宋"/>
                <w:b/>
                <w:bCs/>
                <w:color w:val="auto"/>
                <w:sz w:val="24"/>
                <w:szCs w:val="24"/>
                <w:highlight w:val="none"/>
                <w:lang w:val="en-US" w:eastAsia="zh-CN"/>
              </w:rPr>
              <w:t>注：清晰完善是指方案内容没有交叉混乱、无漏项、条理清楚、无瑕疵或缺陷。合理可行是指方案内容不存在不适用项目实际情况的情形、凭空编造、逻辑错误、原理错误以及不可能实现的夸大情形等。</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865"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项目改造方案18%</w:t>
            </w:r>
          </w:p>
        </w:tc>
        <w:tc>
          <w:tcPr>
            <w:tcW w:w="793"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18分</w:t>
            </w:r>
          </w:p>
        </w:tc>
        <w:tc>
          <w:tcPr>
            <w:tcW w:w="5455" w:type="dxa"/>
            <w:vAlign w:val="top"/>
          </w:tcPr>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w:t>
            </w:r>
            <w:r>
              <w:rPr>
                <w:rFonts w:hint="eastAsia" w:ascii="仿宋" w:hAnsi="仿宋" w:eastAsia="仿宋" w:cs="仿宋"/>
                <w:color w:val="000000"/>
                <w:sz w:val="24"/>
                <w:szCs w:val="24"/>
                <w:lang w:val="en-US" w:eastAsia="zh-CN"/>
              </w:rPr>
              <w:t>项目改造方案</w:t>
            </w:r>
            <w:r>
              <w:rPr>
                <w:rFonts w:hint="eastAsia" w:ascii="仿宋" w:hAnsi="仿宋" w:eastAsia="仿宋" w:cs="仿宋"/>
                <w:color w:val="auto"/>
                <w:sz w:val="24"/>
                <w:szCs w:val="24"/>
                <w:highlight w:val="none"/>
                <w:lang w:val="en-US" w:eastAsia="zh-CN"/>
              </w:rPr>
              <w:t>进行评审,包括但不限于以下内容：①改造原则、②改造依据及原则、③工艺处理改造等。</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三项方案内容完全满足项目要求并且详细、切实可行的得12分，每缺一项扣4分；每项内容中每有一处有缺陷（缺陷是指方案存在不适用项目实际情况的情形、套用其它方案、凭空编造、逻辑漏洞、科学原理错误、不可能实现的夸大情形、内容过于简单、无实质性内容等情况）的扣1分，直至本项分值扣完为止。</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在此得分的基础上，若上述①-③项方案内容清晰完善并且合理可行的每有一项加2分，最多可加6分。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本项满分18分,不提供或不满足不得分。</w:t>
            </w:r>
          </w:p>
          <w:p>
            <w:pPr>
              <w:keepNext w:val="0"/>
              <w:keepLines w:val="0"/>
              <w:pageBreakBefore w:val="0"/>
              <w:kinsoku/>
              <w:wordWrap/>
              <w:overflowPunct/>
              <w:topLinePunct w:val="0"/>
              <w:bidi w:val="0"/>
              <w:snapToGrid/>
              <w:spacing w:line="320" w:lineRule="exact"/>
              <w:ind w:firstLine="482" w:firstLineChars="200"/>
              <w:rPr>
                <w:rFonts w:hint="eastAsia" w:ascii="仿宋" w:hAnsi="仿宋" w:eastAsia="仿宋" w:cs="仿宋"/>
                <w:color w:val="000000"/>
                <w:sz w:val="24"/>
                <w:szCs w:val="24"/>
              </w:rPr>
            </w:pPr>
            <w:r>
              <w:rPr>
                <w:rFonts w:hint="default" w:ascii="仿宋" w:hAnsi="仿宋" w:eastAsia="仿宋" w:cs="仿宋"/>
                <w:b/>
                <w:bCs/>
                <w:color w:val="auto"/>
                <w:sz w:val="24"/>
                <w:szCs w:val="24"/>
                <w:highlight w:val="none"/>
                <w:lang w:val="en-US" w:eastAsia="zh-CN"/>
              </w:rPr>
              <w:t>注：清晰完善是指方案内容没有交叉混乱、无漏项、条理清楚、无瑕疵或缺陷。合理可行是指方案内容不存在不适用项目实际情况的情形、凭空编造、逻辑错误、原理错误以及不可能实现的夸大情形等。</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865"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售后服务方案28%</w:t>
            </w:r>
          </w:p>
        </w:tc>
        <w:tc>
          <w:tcPr>
            <w:tcW w:w="793"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28分</w:t>
            </w:r>
          </w:p>
        </w:tc>
        <w:tc>
          <w:tcPr>
            <w:tcW w:w="5455" w:type="dxa"/>
            <w:vAlign w:val="top"/>
          </w:tcPr>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根据供应商提供的售后服务方案进行评审。包含但不限于以下内容：①售后服务体系、②售后服务制度、③培训内容、④维修响应时间等，</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四项方案内容完全满足项目要求并且详细、切实可行的得20分，每缺一项扣5分；每项内容中每有一处有缺陷（缺陷是指方案存在不适用项目实际情况的情形、套用其它方案、凭空编造、逻辑漏洞、科学原理错误、不可能实现的夸大情形、内容过于简单、无实质性内容等情况）的扣1分，直至本项分值扣完为止。</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在此得分的基础上，若上述①-④项方案内容清晰完善并且合理可行的每有一项加2分，最多可加8分。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本项满分28分,不提供或不满足不得分。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eastAsia" w:ascii="仿宋" w:hAnsi="仿宋" w:eastAsia="宋体" w:cs="仿宋"/>
                <w:color w:val="000000"/>
                <w:sz w:val="24"/>
                <w:szCs w:val="24"/>
                <w:lang w:val="en-US" w:eastAsia="zh-CN"/>
              </w:rPr>
            </w:pPr>
            <w:r>
              <w:rPr>
                <w:rFonts w:hint="default" w:ascii="仿宋" w:hAnsi="仿宋" w:eastAsia="仿宋" w:cs="仿宋"/>
                <w:b/>
                <w:bCs/>
                <w:color w:val="auto"/>
                <w:sz w:val="24"/>
                <w:szCs w:val="24"/>
                <w:highlight w:val="none"/>
                <w:lang w:val="en-US" w:eastAsia="zh-CN"/>
              </w:rPr>
              <w:t>注：清晰完善是指方案内容没有交叉混乱、无漏项、条理清楚、无瑕疵或缺陷。合理可行是指方案内容不存在不适用项目实际情况的情形、凭空编造、逻辑错误、原理错误以及不可能实现的夸大情形等。</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865"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履约能力</w:t>
            </w:r>
          </w:p>
        </w:tc>
        <w:tc>
          <w:tcPr>
            <w:tcW w:w="793"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12分</w:t>
            </w:r>
          </w:p>
        </w:tc>
        <w:tc>
          <w:tcPr>
            <w:tcW w:w="5455" w:type="dxa"/>
            <w:vAlign w:val="top"/>
          </w:tcPr>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供应商自2020年1月1日以来具有类似项目业绩（类似项目业绩是指：</w:t>
            </w:r>
            <w:r>
              <w:rPr>
                <w:rFonts w:hint="eastAsia" w:ascii="仿宋" w:hAnsi="仿宋" w:eastAsia="仿宋" w:cs="仿宋"/>
                <w:b/>
                <w:bCs/>
                <w:color w:val="auto"/>
                <w:sz w:val="24"/>
                <w:szCs w:val="24"/>
                <w:highlight w:val="none"/>
                <w:lang w:val="en-US" w:eastAsia="zh-CN"/>
              </w:rPr>
              <w:t>带有污水站或相关设备改造或维修语义的类似项目</w:t>
            </w:r>
            <w:r>
              <w:rPr>
                <w:rFonts w:hint="default" w:ascii="仿宋" w:hAnsi="仿宋" w:eastAsia="仿宋" w:cs="仿宋"/>
                <w:b/>
                <w:bCs/>
                <w:color w:val="auto"/>
                <w:sz w:val="24"/>
                <w:szCs w:val="24"/>
                <w:highlight w:val="none"/>
                <w:lang w:val="en-US" w:eastAsia="zh-CN"/>
              </w:rPr>
              <w:t>），每提供1个得</w:t>
            </w:r>
            <w:r>
              <w:rPr>
                <w:rFonts w:hint="eastAsia" w:ascii="仿宋" w:hAnsi="仿宋" w:eastAsia="仿宋" w:cs="仿宋"/>
                <w:b/>
                <w:bCs/>
                <w:color w:val="auto"/>
                <w:sz w:val="24"/>
                <w:szCs w:val="24"/>
                <w:highlight w:val="none"/>
                <w:lang w:val="en-US" w:eastAsia="zh-CN"/>
              </w:rPr>
              <w:t>4</w:t>
            </w:r>
            <w:r>
              <w:rPr>
                <w:rFonts w:hint="default" w:ascii="仿宋" w:hAnsi="仿宋" w:eastAsia="仿宋" w:cs="仿宋"/>
                <w:b/>
                <w:bCs/>
                <w:color w:val="auto"/>
                <w:sz w:val="24"/>
                <w:szCs w:val="24"/>
                <w:highlight w:val="none"/>
                <w:lang w:val="en-US" w:eastAsia="zh-CN"/>
              </w:rPr>
              <w:t>分，本项最多得</w:t>
            </w:r>
            <w:r>
              <w:rPr>
                <w:rFonts w:hint="eastAsia" w:ascii="仿宋" w:hAnsi="仿宋" w:eastAsia="仿宋" w:cs="仿宋"/>
                <w:b/>
                <w:bCs/>
                <w:color w:val="auto"/>
                <w:sz w:val="24"/>
                <w:szCs w:val="24"/>
                <w:highlight w:val="none"/>
                <w:lang w:val="en-US" w:eastAsia="zh-CN"/>
              </w:rPr>
              <w:t>12</w:t>
            </w:r>
            <w:r>
              <w:rPr>
                <w:rFonts w:hint="default" w:ascii="仿宋" w:hAnsi="仿宋" w:eastAsia="仿宋" w:cs="仿宋"/>
                <w:b/>
                <w:bCs/>
                <w:color w:val="auto"/>
                <w:sz w:val="24"/>
                <w:szCs w:val="24"/>
                <w:highlight w:val="none"/>
                <w:lang w:val="en-US" w:eastAsia="zh-CN"/>
              </w:rPr>
              <w:t>分，提供不全或未提供不得分。</w:t>
            </w:r>
          </w:p>
          <w:p>
            <w:pPr>
              <w:pStyle w:val="67"/>
              <w:keepNext w:val="0"/>
              <w:keepLines w:val="0"/>
              <w:pageBreakBefore w:val="0"/>
              <w:widowControl w:val="0"/>
              <w:kinsoku/>
              <w:wordWrap/>
              <w:overflowPunct/>
              <w:topLinePunct w:val="0"/>
              <w:autoSpaceDE w:val="0"/>
              <w:autoSpaceDN w:val="0"/>
              <w:bidi w:val="0"/>
              <w:adjustRightInd/>
              <w:snapToGrid/>
              <w:spacing w:line="360" w:lineRule="auto"/>
              <w:ind w:left="0" w:right="0" w:firstLine="559" w:firstLineChars="0"/>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注：需提供中标/成交通知书或合同</w:t>
            </w:r>
            <w:r>
              <w:rPr>
                <w:rFonts w:hint="eastAsia" w:ascii="仿宋" w:hAnsi="仿宋" w:eastAsia="仿宋" w:cs="仿宋"/>
                <w:b/>
                <w:bCs/>
                <w:color w:val="auto"/>
                <w:sz w:val="24"/>
                <w:szCs w:val="24"/>
                <w:highlight w:val="none"/>
                <w:lang w:val="en-US" w:eastAsia="zh-CN"/>
              </w:rPr>
              <w:t>影印</w:t>
            </w:r>
            <w:r>
              <w:rPr>
                <w:rFonts w:hint="default" w:ascii="仿宋" w:hAnsi="仿宋" w:eastAsia="仿宋" w:cs="仿宋"/>
                <w:b/>
                <w:bCs/>
                <w:color w:val="auto"/>
                <w:sz w:val="24"/>
                <w:szCs w:val="24"/>
                <w:highlight w:val="none"/>
                <w:lang w:val="en-US" w:eastAsia="zh-CN"/>
              </w:rPr>
              <w:t>件并加盖供应商公章。</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sz w:val="24"/>
              </w:rPr>
            </w:pPr>
            <w:r>
              <w:rPr>
                <w:rFonts w:hint="eastAsia" w:ascii="仿宋" w:hAnsi="仿宋" w:eastAsia="仿宋" w:cs="仿宋"/>
                <w:sz w:val="24"/>
              </w:rPr>
              <w:t>共同评分因素</w:t>
            </w:r>
          </w:p>
        </w:tc>
      </w:tr>
    </w:tbl>
    <w:p>
      <w:pPr>
        <w:pStyle w:val="25"/>
        <w:ind w:firstLine="210"/>
        <w:rPr>
          <w:rFonts w:hint="eastAsia" w:ascii="仿宋" w:hAnsi="仿宋" w:eastAsia="仿宋" w:cs="仿宋"/>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注：评分的取值按四舍五入法，保留小数点后两位。</w:t>
      </w:r>
    </w:p>
    <w:p>
      <w:pPr>
        <w:spacing w:line="360" w:lineRule="auto"/>
        <w:ind w:firstLine="1440" w:firstLineChars="600"/>
        <w:rPr>
          <w:rFonts w:hint="eastAsia" w:ascii="仿宋" w:hAnsi="仿宋" w:eastAsia="仿宋" w:cs="仿宋"/>
          <w:sz w:val="24"/>
        </w:rPr>
      </w:pPr>
    </w:p>
    <w:p>
      <w:pPr>
        <w:pStyle w:val="2"/>
        <w:rPr>
          <w:rFonts w:hint="eastAsia" w:ascii="仿宋" w:hAnsi="仿宋" w:eastAsia="仿宋" w:cs="仿宋"/>
          <w:sz w:val="24"/>
        </w:rPr>
      </w:pPr>
    </w:p>
    <w:p>
      <w:pPr>
        <w:rPr>
          <w:rFonts w:hint="eastAsia"/>
        </w:rPr>
      </w:pPr>
      <w:r>
        <w:rPr>
          <w:rFonts w:hint="eastAsia"/>
        </w:rPr>
        <w:br w:type="page"/>
      </w:r>
    </w:p>
    <w:p>
      <w:pPr>
        <w:pStyle w:val="26"/>
        <w:rPr>
          <w:rFonts w:hint="eastAsia"/>
        </w:rPr>
      </w:pPr>
    </w:p>
    <w:p>
      <w:pPr>
        <w:pStyle w:val="4"/>
        <w:numPr>
          <w:ilvl w:val="0"/>
          <w:numId w:val="0"/>
        </w:numPr>
        <w:ind w:firstLine="1928" w:firstLineChars="600"/>
        <w:jc w:val="both"/>
        <w:rPr>
          <w:rFonts w:hint="eastAsia" w:ascii="仿宋" w:hAnsi="仿宋" w:eastAsia="仿宋" w:cs="仿宋"/>
        </w:rPr>
      </w:pPr>
      <w:bookmarkStart w:id="100" w:name="_Toc11996"/>
      <w:r>
        <w:rPr>
          <w:rFonts w:hint="eastAsia" w:ascii="仿宋" w:hAnsi="仿宋" w:eastAsia="仿宋" w:cs="仿宋"/>
          <w:lang w:val="en-US" w:eastAsia="zh-CN"/>
        </w:rPr>
        <w:t xml:space="preserve">第六部分 </w:t>
      </w:r>
      <w:r>
        <w:rPr>
          <w:rFonts w:hint="eastAsia" w:ascii="仿宋" w:hAnsi="仿宋" w:eastAsia="仿宋" w:cs="仿宋"/>
        </w:rPr>
        <w:t>合同主要条款</w:t>
      </w:r>
      <w:bookmarkEnd w:id="94"/>
      <w:bookmarkEnd w:id="95"/>
      <w:bookmarkEnd w:id="96"/>
      <w:bookmarkEnd w:id="97"/>
      <w:bookmarkEnd w:id="98"/>
      <w:r>
        <w:rPr>
          <w:rFonts w:hint="eastAsia" w:ascii="仿宋" w:hAnsi="仿宋" w:eastAsia="仿宋" w:cs="仿宋"/>
        </w:rPr>
        <w:t>（参考）</w:t>
      </w:r>
      <w:bookmarkEnd w:id="99"/>
      <w:bookmarkEnd w:id="100"/>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01" w:name="_Toc3696"/>
      <w:bookmarkStart w:id="102" w:name="_Toc27768_WPSOffice_Level2"/>
      <w:bookmarkStart w:id="103" w:name="_Toc20869_WPSOffice_Level1"/>
      <w:bookmarkStart w:id="104" w:name="_Toc4363_WPSOffice_Level1"/>
      <w:bookmarkStart w:id="105" w:name="_Toc22935_WPSOffice_Level1"/>
      <w:bookmarkStart w:id="106" w:name="_Toc19065_WPSOffice_Level2"/>
      <w:bookmarkStart w:id="107" w:name="_Toc1899"/>
      <w:bookmarkStart w:id="108" w:name="_Toc9794_WPSOffice_Level1"/>
      <w:bookmarkStart w:id="109" w:name="_Toc15614_WPSOffice_Level2"/>
      <w:bookmarkStart w:id="110" w:name="_Toc9173"/>
      <w:bookmarkStart w:id="111" w:name="_Toc19274_WPSOffice_Level1"/>
      <w:bookmarkStart w:id="112" w:name="_Toc23165"/>
      <w:bookmarkStart w:id="113" w:name="_Toc16317_WPSOffice_Level1"/>
      <w:bookmarkStart w:id="114" w:name="_Toc6834"/>
      <w:bookmarkStart w:id="115" w:name="_Toc28410_WPSOffice_Level1"/>
      <w:bookmarkStart w:id="116" w:name="_Toc17053_WPSOffice_Level1"/>
      <w:bookmarkStart w:id="117" w:name="_Toc10348_WPSOffice_Level1"/>
      <w:r>
        <w:rPr>
          <w:rFonts w:hint="eastAsia" w:ascii="仿宋" w:hAnsi="仿宋" w:eastAsia="仿宋" w:cs="仿宋"/>
          <w:sz w:val="24"/>
        </w:rPr>
        <w:t>（特别提醒：采购合同的签订不得偏离磋商文件要约及响应文件承诺的实质性内容）</w:t>
      </w:r>
      <w:bookmarkEnd w:id="101"/>
      <w:bookmarkEnd w:id="102"/>
      <w:bookmarkEnd w:id="103"/>
      <w:bookmarkEnd w:id="104"/>
      <w:bookmarkEnd w:id="105"/>
      <w:bookmarkEnd w:id="106"/>
      <w:bookmarkEnd w:id="107"/>
      <w:bookmarkEnd w:id="108"/>
      <w:bookmarkEnd w:id="109"/>
      <w:bookmarkEnd w:id="110"/>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42"/>
          <w:rFonts w:hint="eastAsia" w:ascii="仿宋" w:hAnsi="仿宋" w:eastAsia="仿宋" w:cs="仿宋"/>
          <w:sz w:val="24"/>
        </w:rPr>
      </w:pP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合同编号：XXXX。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签订地点：XXXX。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签订时间：XXXX 年 XX 月 XX 日。</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采购人（甲方）：</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供应商（乙方）：</w:t>
      </w:r>
    </w:p>
    <w:p>
      <w:pPr>
        <w:snapToGrid w:val="0"/>
        <w:spacing w:line="400" w:lineRule="exact"/>
        <w:ind w:firstLine="420" w:firstLineChars="200"/>
        <w:jc w:val="left"/>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3"/>
        </w:rPr>
      </w:pPr>
      <w:r>
        <w:rPr>
          <w:rStyle w:val="42"/>
          <w:rFonts w:hint="eastAsia" w:ascii="仿宋" w:hAnsi="仿宋" w:eastAsia="仿宋" w:cs="仿宋"/>
          <w:sz w:val="24"/>
        </w:rPr>
        <w:t>根据《中华人民共和国政府采购法》、《中华人民共和国民法典》以及XXX采购项目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第一条项目基本情况</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第二条合同期限</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第三条服务内容与质量标准</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1、XXXX；</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2、XXXX；</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3、XXXX．</w:t>
      </w: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第四条服务费用及支付方式</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(一)本项目服务费用由以下组成：</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1、XX 万元；</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2、XX 万元；</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3、XX 万元。</w:t>
      </w:r>
    </w:p>
    <w:p>
      <w:pPr>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w:t>
      </w:r>
    </w:p>
    <w:p>
      <w:pPr>
        <w:snapToGrid w:val="0"/>
        <w:spacing w:line="400" w:lineRule="exact"/>
        <w:ind w:firstLine="480" w:firstLineChars="200"/>
        <w:textAlignment w:val="baseline"/>
        <w:rPr>
          <w:rStyle w:val="42"/>
          <w:rFonts w:hint="eastAsia" w:ascii="仿宋" w:hAnsi="仿宋" w:eastAsia="仿宋" w:cs="仿宋"/>
          <w:sz w:val="24"/>
        </w:rPr>
      </w:pP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(二)服务费支付方式：</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第五条知识产权</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乙方应保证所提供的服务或其任何一部分均不会侵犯任何第三方的专利权、商标权或著作权。</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第六条无产权瑕疵条款</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第七条履约保证金</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无</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第八条甲方的权利和义务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2、甲方负责检查监督乙方对于该项目管理工作的实施及制度的执行情况。</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4、根据本合同规定，甲方按时向乙方支付应付服务费用。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 xml:space="preserve">5、国家法律、法规所规定由甲方承担的其它责任。  </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第九条乙方的权利和义务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1、对本合同规定的委托服务范围内的项目享有管理权及服务义务。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2、根据本合同的规定向甲方收取相关服务费用，并有权在本项目管理范围内管理及合理使用。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3、及时向甲方通告本项目服务范围内有关服务的重大事项，及时配合处理投诉。</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4、接受项目行业管理部门及政府有关部门的指导，接受甲方的监督。</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5、国家法律、法规所规定由乙方承担的其它责任。</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第十条违约责任</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0" w:firstLineChars="200"/>
        <w:jc w:val="left"/>
        <w:textAlignment w:val="baseline"/>
        <w:rPr>
          <w:rStyle w:val="42"/>
          <w:rFonts w:hint="eastAsia" w:ascii="仿宋" w:hAnsi="仿宋" w:eastAsia="仿宋" w:cs="仿宋"/>
        </w:rPr>
      </w:pPr>
      <w:r>
        <w:rPr>
          <w:rStyle w:val="42"/>
          <w:rFonts w:hint="eastAsia" w:ascii="仿宋" w:hAnsi="仿宋" w:eastAsia="仿宋" w:cs="仿宋"/>
          <w:sz w:val="24"/>
        </w:rPr>
        <w:t>第十一条不可抗力事件处理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3、不可抗力事件延续 XX 天以上，双方应通过友好协商，确定是否继续履行合同。</w:t>
      </w:r>
    </w:p>
    <w:p>
      <w:pPr>
        <w:snapToGrid w:val="0"/>
        <w:spacing w:line="400" w:lineRule="exact"/>
        <w:ind w:firstLine="480" w:firstLineChars="200"/>
        <w:jc w:val="left"/>
        <w:textAlignment w:val="baseline"/>
        <w:rPr>
          <w:rStyle w:val="42"/>
          <w:rFonts w:hint="eastAsia" w:ascii="仿宋" w:hAnsi="仿宋" w:eastAsia="仿宋" w:cs="仿宋"/>
        </w:rPr>
      </w:pPr>
      <w:r>
        <w:rPr>
          <w:rStyle w:val="42"/>
          <w:rFonts w:hint="eastAsia" w:ascii="仿宋" w:hAnsi="仿宋" w:eastAsia="仿宋" w:cs="仿宋"/>
          <w:sz w:val="24"/>
        </w:rPr>
        <w:t>第十二条解决合同纠纷的方式</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1、在执行本合同中发生的或与本合同有关的争端，双方应通过友好协商解决，经协商在 XX 天内不能达成协议时，应提交仲裁委员会仲裁。</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4、在仲裁期间，除正在进行仲裁部分外，合同其他部分继续执行。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第十三条合同生效及其他</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3、本合同一式 XX 份，自双方签章之日起起效。甲方 XX 份，乙方 XX 份，采购人</w:t>
      </w:r>
      <w:r>
        <w:rPr>
          <w:rStyle w:val="42"/>
          <w:rFonts w:hint="eastAsia" w:ascii="仿宋" w:hAnsi="仿宋" w:eastAsia="仿宋" w:cs="仿宋"/>
          <w:w w:val="97"/>
          <w:sz w:val="24"/>
        </w:rPr>
        <w:t>XX 份，</w:t>
      </w:r>
      <w:r>
        <w:rPr>
          <w:rStyle w:val="42"/>
          <w:rFonts w:hint="eastAsia" w:ascii="仿宋" w:hAnsi="仿宋" w:eastAsia="仿宋" w:cs="仿宋"/>
          <w:spacing w:val="-13"/>
          <w:sz w:val="24"/>
        </w:rPr>
        <w:t xml:space="preserve">同级财政部门备案 </w:t>
      </w:r>
      <w:r>
        <w:rPr>
          <w:rStyle w:val="42"/>
          <w:rFonts w:hint="eastAsia" w:ascii="仿宋" w:hAnsi="仿宋" w:eastAsia="仿宋" w:cs="仿宋"/>
          <w:sz w:val="24"/>
        </w:rPr>
        <w:t>XX</w:t>
      </w:r>
      <w:r>
        <w:rPr>
          <w:rStyle w:val="42"/>
          <w:rFonts w:hint="eastAsia" w:ascii="仿宋" w:hAnsi="仿宋" w:eastAsia="仿宋" w:cs="仿宋"/>
          <w:spacing w:val="-8"/>
          <w:sz w:val="24"/>
        </w:rPr>
        <w:t xml:space="preserve"> 份，</w:t>
      </w:r>
      <w:r>
        <w:rPr>
          <w:rStyle w:val="42"/>
          <w:rFonts w:hint="eastAsia" w:ascii="仿宋" w:hAnsi="仿宋" w:eastAsia="仿宋" w:cs="仿宋"/>
          <w:w w:val="97"/>
          <w:sz w:val="24"/>
        </w:rPr>
        <w:t>具有同等法律效力。</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第十四条附件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1、项目磋商采购文件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2、项目修改澄清文件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3、项目响应文件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4、成交通知书</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5、其他</w:t>
      </w:r>
    </w:p>
    <w:p>
      <w:pPr>
        <w:pStyle w:val="62"/>
        <w:snapToGrid w:val="0"/>
        <w:spacing w:line="400" w:lineRule="exact"/>
        <w:ind w:firstLine="480" w:firstLineChars="200"/>
        <w:jc w:val="left"/>
        <w:rPr>
          <w:rStyle w:val="42"/>
          <w:rFonts w:hint="eastAsia" w:ascii="仿宋" w:hAnsi="仿宋" w:eastAsia="仿宋" w:cs="仿宋"/>
          <w:sz w:val="24"/>
        </w:rPr>
      </w:pP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 xml:space="preserve">签约日期：XX 年 XX 月 XX 日                 签约日期：XX 年 XX 月 XX 日 </w:t>
      </w:r>
    </w:p>
    <w:p>
      <w:pPr>
        <w:pStyle w:val="2"/>
        <w:rPr>
          <w:rStyle w:val="42"/>
          <w:rFonts w:hint="eastAsia" w:ascii="仿宋" w:hAnsi="仿宋" w:eastAsia="仿宋" w:cs="仿宋"/>
          <w:sz w:val="24"/>
        </w:rPr>
      </w:pPr>
    </w:p>
    <w:p>
      <w:pPr>
        <w:pStyle w:val="25"/>
        <w:rPr>
          <w:rStyle w:val="42"/>
          <w:rFonts w:hint="eastAsia" w:ascii="仿宋" w:hAnsi="仿宋" w:eastAsia="仿宋" w:cs="仿宋"/>
          <w:sz w:val="24"/>
        </w:rPr>
      </w:pPr>
    </w:p>
    <w:p>
      <w:pPr>
        <w:pStyle w:val="26"/>
        <w:rPr>
          <w:rStyle w:val="42"/>
          <w:rFonts w:hint="eastAsia" w:ascii="仿宋" w:hAnsi="仿宋" w:eastAsia="仿宋" w:cs="仿宋"/>
          <w:sz w:val="24"/>
        </w:rPr>
      </w:pPr>
    </w:p>
    <w:p>
      <w:pPr>
        <w:pStyle w:val="26"/>
        <w:rPr>
          <w:rStyle w:val="42"/>
          <w:rFonts w:hint="eastAsia" w:ascii="仿宋" w:hAnsi="仿宋" w:eastAsia="仿宋" w:cs="仿宋"/>
          <w:sz w:val="24"/>
        </w:rPr>
      </w:pPr>
    </w:p>
    <w:p>
      <w:pPr>
        <w:pStyle w:val="26"/>
        <w:rPr>
          <w:rStyle w:val="42"/>
          <w:rFonts w:hint="eastAsia" w:ascii="仿宋" w:hAnsi="仿宋" w:eastAsia="仿宋" w:cs="仿宋"/>
          <w:sz w:val="24"/>
        </w:rPr>
      </w:pPr>
    </w:p>
    <w:p>
      <w:pPr>
        <w:rPr>
          <w:rFonts w:hint="eastAsia" w:ascii="仿宋" w:hAnsi="仿宋" w:eastAsia="仿宋" w:cs="仿宋"/>
          <w:lang w:val="en-US" w:eastAsia="zh-CN"/>
        </w:rPr>
      </w:pPr>
      <w:bookmarkStart w:id="118" w:name="_Toc30905"/>
      <w:r>
        <w:rPr>
          <w:rFonts w:hint="eastAsia" w:ascii="仿宋" w:hAnsi="仿宋" w:eastAsia="仿宋" w:cs="仿宋"/>
          <w:lang w:val="en-US" w:eastAsia="zh-CN"/>
        </w:rPr>
        <w:br w:type="page"/>
      </w:r>
    </w:p>
    <w:p>
      <w:pPr>
        <w:pStyle w:val="4"/>
        <w:numPr>
          <w:ilvl w:val="0"/>
          <w:numId w:val="0"/>
        </w:numPr>
        <w:jc w:val="center"/>
        <w:rPr>
          <w:rFonts w:hint="eastAsia" w:ascii="仿宋" w:hAnsi="仿宋" w:eastAsia="仿宋" w:cs="仿宋"/>
        </w:rPr>
      </w:pPr>
      <w:r>
        <w:rPr>
          <w:rFonts w:hint="eastAsia" w:ascii="仿宋" w:hAnsi="仿宋" w:eastAsia="仿宋" w:cs="仿宋"/>
          <w:lang w:val="en-US" w:eastAsia="zh-CN"/>
        </w:rPr>
        <w:t xml:space="preserve">第七部分  </w:t>
      </w:r>
      <w:r>
        <w:rPr>
          <w:rFonts w:hint="eastAsia" w:ascii="仿宋" w:hAnsi="仿宋" w:eastAsia="仿宋" w:cs="仿宋"/>
        </w:rPr>
        <w:t>附件</w:t>
      </w:r>
      <w:bookmarkEnd w:id="111"/>
      <w:bookmarkEnd w:id="118"/>
    </w:p>
    <w:p>
      <w:pPr>
        <w:widowControl w:val="0"/>
        <w:numPr>
          <w:ilvl w:val="0"/>
          <w:numId w:val="0"/>
        </w:numPr>
        <w:jc w:val="both"/>
        <w:rPr>
          <w:rFonts w:hint="eastAsia"/>
        </w:rPr>
      </w:pPr>
    </w:p>
    <w:p>
      <w:pPr>
        <w:pStyle w:val="2"/>
        <w:rPr>
          <w:rFonts w:hint="eastAsia"/>
        </w:rPr>
      </w:pPr>
    </w:p>
    <w:p>
      <w:pPr>
        <w:outlineLvl w:val="1"/>
        <w:rPr>
          <w:rFonts w:hint="eastAsia" w:ascii="仿宋" w:hAnsi="仿宋" w:eastAsia="仿宋" w:cs="仿宋"/>
          <w:b/>
          <w:bCs/>
          <w:sz w:val="32"/>
          <w:szCs w:val="32"/>
        </w:rPr>
      </w:pPr>
      <w:bookmarkStart w:id="119" w:name="_Toc11853"/>
      <w:bookmarkStart w:id="120" w:name="_Toc4097_WPSOffice_Level1"/>
      <w:r>
        <w:rPr>
          <w:rFonts w:hint="eastAsia" w:ascii="仿宋" w:hAnsi="仿宋" w:eastAsia="仿宋" w:cs="仿宋"/>
          <w:b/>
          <w:bCs/>
          <w:sz w:val="32"/>
          <w:szCs w:val="32"/>
        </w:rPr>
        <w:t>附件1 供应商报名登记表</w:t>
      </w:r>
      <w:bookmarkEnd w:id="112"/>
      <w:bookmarkEnd w:id="113"/>
      <w:bookmarkEnd w:id="114"/>
      <w:bookmarkEnd w:id="115"/>
      <w:bookmarkEnd w:id="116"/>
      <w:bookmarkEnd w:id="117"/>
      <w:bookmarkEnd w:id="119"/>
      <w:bookmarkEnd w:id="120"/>
    </w:p>
    <w:p>
      <w:pPr>
        <w:jc w:val="center"/>
        <w:rPr>
          <w:rFonts w:hint="eastAsia" w:ascii="仿宋" w:hAnsi="仿宋" w:eastAsia="仿宋" w:cs="仿宋"/>
          <w:b/>
          <w:bCs/>
          <w:sz w:val="32"/>
          <w:szCs w:val="32"/>
        </w:rPr>
      </w:pPr>
      <w:bookmarkStart w:id="121" w:name="_Toc14423_WPSOffice_Level2"/>
    </w:p>
    <w:p>
      <w:pPr>
        <w:jc w:val="center"/>
        <w:rPr>
          <w:rFonts w:hint="eastAsia" w:ascii="仿宋" w:hAnsi="仿宋" w:eastAsia="仿宋" w:cs="仿宋"/>
          <w:b/>
          <w:bCs/>
          <w:sz w:val="32"/>
          <w:szCs w:val="32"/>
        </w:rPr>
      </w:pPr>
      <w:r>
        <w:rPr>
          <w:rFonts w:hint="eastAsia" w:ascii="仿宋" w:hAnsi="仿宋" w:eastAsia="仿宋" w:cs="仿宋"/>
          <w:b/>
          <w:bCs/>
          <w:sz w:val="32"/>
          <w:szCs w:val="32"/>
        </w:rPr>
        <w:t>供应商报名登记表</w:t>
      </w:r>
      <w:bookmarkEnd w:id="121"/>
    </w:p>
    <w:p>
      <w:pPr>
        <w:pStyle w:val="36"/>
        <w:rPr>
          <w:rFonts w:hint="eastAsia" w:ascii="仿宋" w:hAnsi="仿宋" w:eastAsia="仿宋" w:cs="仿宋"/>
          <w:color w:val="auto"/>
          <w:spacing w:val="6"/>
        </w:rPr>
      </w:pPr>
    </w:p>
    <w:p>
      <w:pPr>
        <w:pStyle w:val="36"/>
        <w:rPr>
          <w:rFonts w:hint="eastAsia" w:ascii="仿宋" w:hAnsi="仿宋" w:eastAsia="仿宋" w:cs="仿宋"/>
          <w:color w:val="auto"/>
          <w:spacing w:val="6"/>
        </w:rPr>
      </w:pPr>
    </w:p>
    <w:p>
      <w:pPr>
        <w:pStyle w:val="36"/>
        <w:rPr>
          <w:rFonts w:hint="eastAsia" w:ascii="仿宋" w:hAnsi="仿宋" w:eastAsia="仿宋" w:cs="仿宋"/>
          <w:color w:val="auto"/>
          <w:spacing w:val="6"/>
        </w:rPr>
      </w:pPr>
    </w:p>
    <w:tbl>
      <w:tblPr>
        <w:tblStyle w:val="28"/>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default" w:ascii="仿宋" w:hAnsi="仿宋" w:eastAsia="仿宋" w:cs="仿宋"/>
                <w:sz w:val="24"/>
                <w:u w:val="none"/>
                <w:lang w:val="en-US" w:eastAsia="zh-CN"/>
              </w:rPr>
            </w:pPr>
            <w:r>
              <w:rPr>
                <w:rFonts w:hint="eastAsia" w:ascii="仿宋" w:hAnsi="仿宋" w:eastAsia="仿宋" w:cs="仿宋"/>
                <w:spacing w:val="6"/>
                <w:sz w:val="24"/>
                <w:lang w:val="en-US" w:eastAsia="zh-CN"/>
              </w:rPr>
              <w:t>内江市第二人民医院新门诊大楼污水处理站局部改造服务采购项目</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采购类型</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z w:val="24"/>
                <w:u w:val="none"/>
              </w:rPr>
            </w:pPr>
            <w:r>
              <w:rPr>
                <w:rFonts w:hint="eastAsia" w:ascii="仿宋" w:hAnsi="仿宋" w:eastAsia="仿宋" w:cs="仿宋"/>
                <w:b/>
                <w:spacing w:val="-10"/>
                <w:sz w:val="24"/>
                <w:u w:val="none"/>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1</w:t>
            </w:r>
            <w:r>
              <w:rPr>
                <w:rFonts w:hint="eastAsia" w:ascii="仿宋" w:hAnsi="仿宋" w:eastAsia="仿宋" w:cs="仿宋"/>
                <w:sz w:val="24"/>
                <w:u w:val="none"/>
              </w:rPr>
              <w:t>月</w:t>
            </w:r>
            <w:r>
              <w:rPr>
                <w:rFonts w:hint="eastAsia" w:ascii="仿宋" w:hAnsi="仿宋" w:eastAsia="仿宋" w:cs="仿宋"/>
                <w:sz w:val="24"/>
                <w:u w:val="none"/>
                <w:lang w:val="en-US" w:eastAsia="zh-CN"/>
              </w:rPr>
              <w:t>9</w:t>
            </w:r>
            <w:r>
              <w:rPr>
                <w:rFonts w:hint="eastAsia" w:ascii="仿宋" w:hAnsi="仿宋" w:eastAsia="仿宋" w:cs="仿宋"/>
                <w:sz w:val="24"/>
                <w:u w:val="none"/>
              </w:rPr>
              <w:t>日至202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1</w:t>
            </w:r>
            <w:r>
              <w:rPr>
                <w:rFonts w:hint="eastAsia" w:ascii="仿宋" w:hAnsi="仿宋" w:eastAsia="仿宋" w:cs="仿宋"/>
                <w:sz w:val="24"/>
                <w:u w:val="none"/>
              </w:rPr>
              <w:t>月</w:t>
            </w:r>
            <w:r>
              <w:rPr>
                <w:rFonts w:hint="eastAsia" w:ascii="仿宋" w:hAnsi="仿宋" w:eastAsia="仿宋" w:cs="仿宋"/>
                <w:sz w:val="24"/>
                <w:u w:val="none"/>
                <w:lang w:val="en-US" w:eastAsia="zh-CN"/>
              </w:rPr>
              <w:t>14</w:t>
            </w:r>
            <w:r>
              <w:rPr>
                <w:rFonts w:hint="eastAsia" w:ascii="仿宋" w:hAnsi="仿宋" w:eastAsia="仿宋" w:cs="仿宋"/>
                <w:sz w:val="24"/>
                <w:u w:val="none"/>
              </w:rPr>
              <w:t>日（每日上午</w:t>
            </w:r>
            <w:r>
              <w:rPr>
                <w:rFonts w:hint="eastAsia" w:ascii="仿宋" w:hAnsi="仿宋" w:eastAsia="仿宋" w:cs="仿宋"/>
                <w:sz w:val="24"/>
                <w:u w:val="none"/>
                <w:lang w:val="en-US" w:eastAsia="zh-CN"/>
              </w:rPr>
              <w:t>9</w:t>
            </w:r>
            <w:r>
              <w:rPr>
                <w:rFonts w:hint="eastAsia" w:ascii="仿宋" w:hAnsi="仿宋" w:eastAsia="仿宋" w:cs="仿宋"/>
                <w:sz w:val="24"/>
                <w:u w:val="none"/>
              </w:rPr>
              <w:t>:</w:t>
            </w:r>
            <w:r>
              <w:rPr>
                <w:rFonts w:hint="eastAsia" w:ascii="仿宋" w:hAnsi="仿宋" w:eastAsia="仿宋" w:cs="仿宋"/>
                <w:sz w:val="24"/>
                <w:u w:val="none"/>
                <w:lang w:val="en-US" w:eastAsia="zh-CN"/>
              </w:rPr>
              <w:t>30</w:t>
            </w:r>
            <w:r>
              <w:rPr>
                <w:rFonts w:hint="eastAsia" w:ascii="仿宋" w:hAnsi="仿宋" w:eastAsia="仿宋" w:cs="仿宋"/>
                <w:sz w:val="24"/>
                <w:u w:val="none"/>
              </w:rPr>
              <w:t>分至12：00分，下午14：30分至17：</w:t>
            </w:r>
            <w:r>
              <w:rPr>
                <w:rFonts w:hint="eastAsia" w:ascii="仿宋" w:hAnsi="仿宋" w:eastAsia="仿宋" w:cs="仿宋"/>
                <w:sz w:val="24"/>
                <w:u w:val="none"/>
                <w:lang w:val="en-US" w:eastAsia="zh-CN"/>
              </w:rPr>
              <w:t>3</w:t>
            </w:r>
            <w:r>
              <w:rPr>
                <w:rFonts w:hint="eastAsia" w:ascii="仿宋" w:hAnsi="仿宋" w:eastAsia="仿宋" w:cs="仿宋"/>
                <w:sz w:val="24"/>
                <w:u w:val="none"/>
              </w:rPr>
              <w:t>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b/>
                <w:sz w:val="24"/>
                <w:u w:val="none"/>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25"/>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480" w:firstLineChars="200"/>
              <w:jc w:val="both"/>
              <w:textAlignment w:val="auto"/>
              <w:rPr>
                <w:rFonts w:ascii="仿宋" w:hAnsi="仿宋" w:eastAsia="仿宋" w:cs="仿宋"/>
                <w:sz w:val="24"/>
                <w:u w:val="none"/>
              </w:rPr>
            </w:pPr>
            <w:r>
              <w:rPr>
                <w:rFonts w:hint="eastAsia" w:ascii="仿宋" w:hAnsi="仿宋" w:eastAsia="仿宋" w:cs="仿宋"/>
                <w:bCs/>
                <w:sz w:val="24"/>
                <w:szCs w:val="24"/>
                <w:u w:val="none"/>
              </w:rPr>
              <w:t>20</w:t>
            </w:r>
            <w:r>
              <w:rPr>
                <w:rFonts w:hint="eastAsia" w:ascii="仿宋" w:hAnsi="仿宋" w:eastAsia="仿宋" w:cs="仿宋"/>
                <w:bCs/>
                <w:sz w:val="24"/>
                <w:szCs w:val="24"/>
                <w:u w:val="none"/>
                <w:lang w:val="en-US" w:eastAsia="zh-CN"/>
              </w:rPr>
              <w:t>24</w:t>
            </w:r>
            <w:r>
              <w:rPr>
                <w:rFonts w:hint="eastAsia" w:ascii="仿宋" w:hAnsi="仿宋" w:eastAsia="仿宋" w:cs="仿宋"/>
                <w:bCs/>
                <w:sz w:val="24"/>
                <w:szCs w:val="24"/>
                <w:u w:val="none"/>
              </w:rPr>
              <w:t>年</w:t>
            </w:r>
            <w:r>
              <w:rPr>
                <w:rFonts w:hint="eastAsia" w:ascii="仿宋" w:hAnsi="仿宋" w:eastAsia="仿宋" w:cs="仿宋"/>
                <w:bCs/>
                <w:sz w:val="24"/>
                <w:szCs w:val="24"/>
                <w:u w:val="none"/>
                <w:lang w:val="en-US" w:eastAsia="zh-CN"/>
              </w:rPr>
              <w:t>1</w:t>
            </w:r>
            <w:r>
              <w:rPr>
                <w:rFonts w:hint="eastAsia" w:ascii="仿宋" w:hAnsi="仿宋" w:eastAsia="仿宋" w:cs="仿宋"/>
                <w:bCs/>
                <w:sz w:val="24"/>
                <w:szCs w:val="24"/>
                <w:u w:val="none"/>
              </w:rPr>
              <w:t xml:space="preserve">月 </w:t>
            </w:r>
            <w:r>
              <w:rPr>
                <w:rFonts w:hint="eastAsia" w:ascii="仿宋" w:hAnsi="仿宋" w:eastAsia="仿宋" w:cs="仿宋"/>
                <w:bCs/>
                <w:sz w:val="24"/>
                <w:szCs w:val="24"/>
                <w:u w:val="none"/>
                <w:lang w:val="en-US" w:eastAsia="zh-CN"/>
              </w:rPr>
              <w:t>15</w:t>
            </w:r>
            <w:r>
              <w:rPr>
                <w:rFonts w:hint="eastAsia" w:ascii="仿宋" w:hAnsi="仿宋" w:eastAsia="仿宋" w:cs="仿宋"/>
                <w:bCs/>
                <w:sz w:val="24"/>
                <w:szCs w:val="24"/>
                <w:u w:val="none"/>
              </w:rPr>
              <w:t xml:space="preserve">日 </w:t>
            </w:r>
            <w:r>
              <w:rPr>
                <w:rFonts w:hint="eastAsia" w:ascii="仿宋" w:hAnsi="仿宋" w:eastAsia="仿宋" w:cs="仿宋"/>
                <w:b w:val="0"/>
                <w:bCs w:val="0"/>
                <w:i w:val="0"/>
                <w:iCs w:val="0"/>
                <w:caps w:val="0"/>
                <w:color w:val="auto"/>
                <w:spacing w:val="0"/>
                <w:sz w:val="24"/>
                <w:szCs w:val="24"/>
                <w:shd w:val="clear" w:color="auto" w:fill="FFFFFF"/>
              </w:rPr>
              <w:t>9：</w:t>
            </w:r>
            <w:r>
              <w:rPr>
                <w:rFonts w:hint="eastAsia" w:ascii="仿宋" w:hAnsi="仿宋" w:eastAsia="仿宋" w:cs="仿宋"/>
                <w:b w:val="0"/>
                <w:bCs w:val="0"/>
                <w:i w:val="0"/>
                <w:iCs w:val="0"/>
                <w:caps w:val="0"/>
                <w:color w:val="auto"/>
                <w:spacing w:val="0"/>
                <w:sz w:val="24"/>
                <w:szCs w:val="24"/>
                <w:shd w:val="clear" w:color="auto" w:fill="FFFFFF"/>
                <w:lang w:val="en-US" w:eastAsia="zh-CN"/>
              </w:rPr>
              <w:t>00</w:t>
            </w:r>
            <w:r>
              <w:rPr>
                <w:rFonts w:hint="eastAsia" w:ascii="仿宋" w:hAnsi="仿宋" w:eastAsia="仿宋" w:cs="仿宋"/>
                <w:bCs/>
                <w:sz w:val="24"/>
                <w:szCs w:val="24"/>
                <w:u w:val="none"/>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已仔细阅读“</w:t>
            </w:r>
            <w:r>
              <w:rPr>
                <w:rFonts w:hint="eastAsia" w:ascii="仿宋" w:hAnsi="仿宋" w:eastAsia="仿宋" w:cs="仿宋"/>
                <w:spacing w:val="6"/>
                <w:sz w:val="24"/>
                <w:lang w:val="en-US" w:eastAsia="zh-CN"/>
              </w:rPr>
              <w:t>内江市第二人民医院新门诊大楼污水处理站局部改造服务采购项目</w:t>
            </w:r>
            <w:r>
              <w:rPr>
                <w:rFonts w:hint="eastAsia" w:ascii="仿宋" w:hAnsi="仿宋" w:eastAsia="仿宋" w:cs="仿宋"/>
                <w:sz w:val="24"/>
                <w:u w:val="none"/>
              </w:rPr>
              <w:t xml:space="preserve"> ”采购公告并认真核对相关资料,已确认相关资料完全领取完毕，无遗漏。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2880"/>
              <w:rPr>
                <w:rFonts w:ascii="仿宋" w:hAnsi="仿宋" w:eastAsia="仿宋" w:cs="仿宋"/>
                <w:sz w:val="24"/>
                <w:u w:val="none"/>
              </w:rPr>
            </w:pPr>
            <w:r>
              <w:rPr>
                <w:rFonts w:hint="eastAsia" w:ascii="仿宋" w:hAnsi="仿宋" w:eastAsia="仿宋" w:cs="仿宋"/>
                <w:sz w:val="24"/>
                <w:u w:val="none"/>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联系电话</w:t>
            </w:r>
          </w:p>
        </w:tc>
        <w:tc>
          <w:tcPr>
            <w:tcW w:w="33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移动电话</w:t>
            </w:r>
          </w:p>
        </w:tc>
        <w:tc>
          <w:tcPr>
            <w:tcW w:w="2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座机电话</w:t>
            </w:r>
          </w:p>
        </w:tc>
        <w:tc>
          <w:tcPr>
            <w:tcW w:w="27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1080"/>
              <w:rPr>
                <w:rFonts w:ascii="仿宋" w:hAnsi="仿宋" w:eastAsia="仿宋" w:cs="仿宋"/>
                <w:sz w:val="24"/>
                <w:u w:val="none"/>
              </w:rPr>
            </w:pPr>
            <w:r>
              <w:rPr>
                <w:rFonts w:hint="eastAsia" w:ascii="仿宋" w:hAnsi="仿宋" w:eastAsia="仿宋" w:cs="仿宋"/>
                <w:sz w:val="24"/>
                <w:u w:val="none"/>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备注</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供应商在报名时登记的电话和传真必须真实有效，且从报名时间起至投标响应文件有效期止（工作日每天</w:t>
            </w:r>
            <w:r>
              <w:rPr>
                <w:rFonts w:hint="eastAsia" w:ascii="仿宋" w:hAnsi="仿宋" w:eastAsia="仿宋" w:cs="仿宋"/>
                <w:sz w:val="24"/>
                <w:u w:val="none"/>
                <w:lang w:val="en-US" w:eastAsia="zh-CN"/>
              </w:rPr>
              <w:t>9</w:t>
            </w:r>
            <w:r>
              <w:rPr>
                <w:rFonts w:hint="eastAsia" w:ascii="仿宋" w:hAnsi="仿宋" w:eastAsia="仿宋" w:cs="仿宋"/>
                <w:sz w:val="24"/>
                <w:u w:val="none"/>
              </w:rPr>
              <w:t>:30时至17:</w:t>
            </w:r>
            <w:r>
              <w:rPr>
                <w:rFonts w:hint="eastAsia" w:ascii="仿宋" w:hAnsi="仿宋" w:eastAsia="仿宋" w:cs="仿宋"/>
                <w:sz w:val="24"/>
                <w:u w:val="none"/>
                <w:lang w:val="en-US" w:eastAsia="zh-CN"/>
              </w:rPr>
              <w:t>00</w:t>
            </w:r>
            <w:r>
              <w:rPr>
                <w:rFonts w:hint="eastAsia" w:ascii="仿宋" w:hAnsi="仿宋" w:eastAsia="仿宋" w:cs="仿宋"/>
                <w:sz w:val="24"/>
                <w:u w:val="none"/>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pStyle w:val="2"/>
        <w:rPr>
          <w:rFonts w:hint="eastAsia" w:ascii="仿宋" w:hAnsi="仿宋" w:eastAsia="仿宋" w:cs="仿宋"/>
          <w:b/>
          <w:bCs/>
          <w:sz w:val="36"/>
          <w:szCs w:val="36"/>
        </w:rPr>
      </w:pPr>
      <w:bookmarkStart w:id="122" w:name="_Toc19766"/>
      <w:r>
        <w:rPr>
          <w:rFonts w:hint="eastAsia" w:ascii="仿宋" w:hAnsi="仿宋" w:eastAsia="仿宋" w:cs="仿宋"/>
          <w:b/>
          <w:bCs/>
          <w:sz w:val="36"/>
          <w:szCs w:val="36"/>
        </w:rPr>
        <w:t>附件2</w:t>
      </w:r>
      <w:bookmarkEnd w:id="122"/>
      <w:bookmarkStart w:id="123" w:name="_Toc14778"/>
      <w:r>
        <w:rPr>
          <w:rFonts w:hint="eastAsia" w:ascii="仿宋" w:hAnsi="仿宋" w:eastAsia="仿宋" w:cs="仿宋"/>
          <w:b/>
          <w:bCs/>
          <w:sz w:val="36"/>
          <w:szCs w:val="36"/>
        </w:rPr>
        <w:t>介绍信</w:t>
      </w:r>
    </w:p>
    <w:p>
      <w:pPr>
        <w:pStyle w:val="2"/>
        <w:rPr>
          <w:rFonts w:hint="eastAsia" w:ascii="仿宋" w:hAnsi="仿宋" w:eastAsia="仿宋" w:cs="仿宋"/>
          <w:b w:val="0"/>
          <w:bCs w:val="0"/>
          <w:sz w:val="36"/>
          <w:szCs w:val="36"/>
        </w:rPr>
      </w:pPr>
    </w:p>
    <w:p>
      <w:pPr>
        <w:pStyle w:val="2"/>
        <w:ind w:firstLine="4417" w:firstLineChars="1000"/>
        <w:rPr>
          <w:rFonts w:hint="eastAsia" w:ascii="仿宋" w:hAnsi="仿宋" w:eastAsia="仿宋" w:cs="仿宋"/>
          <w:b/>
          <w:bCs/>
          <w:sz w:val="44"/>
          <w:szCs w:val="44"/>
        </w:rPr>
      </w:pPr>
      <w:r>
        <w:rPr>
          <w:rFonts w:hint="eastAsia" w:ascii="仿宋" w:hAnsi="仿宋" w:eastAsia="仿宋" w:cs="仿宋"/>
          <w:b/>
          <w:bCs/>
          <w:sz w:val="44"/>
          <w:szCs w:val="44"/>
        </w:rPr>
        <w:t>介绍信</w:t>
      </w:r>
      <w:bookmarkEnd w:id="123"/>
    </w:p>
    <w:p>
      <w:pPr>
        <w:pStyle w:val="25"/>
        <w:tabs>
          <w:tab w:val="left" w:pos="780"/>
        </w:tabs>
        <w:autoSpaceDE w:val="0"/>
        <w:autoSpaceDN w:val="0"/>
        <w:ind w:firstLine="0" w:firstLineChars="0"/>
        <w:jc w:val="left"/>
        <w:rPr>
          <w:rFonts w:hint="eastAsia" w:ascii="仿宋" w:hAnsi="仿宋" w:eastAsia="仿宋" w:cs="仿宋"/>
          <w:b/>
          <w:sz w:val="28"/>
        </w:rPr>
      </w:pPr>
    </w:p>
    <w:p>
      <w:pPr>
        <w:pStyle w:val="25"/>
        <w:tabs>
          <w:tab w:val="left" w:pos="780"/>
        </w:tabs>
        <w:autoSpaceDE w:val="0"/>
        <w:autoSpaceDN w:val="0"/>
        <w:ind w:firstLine="0" w:firstLineChars="0"/>
        <w:jc w:val="left"/>
        <w:rPr>
          <w:rFonts w:hint="eastAsia" w:ascii="仿宋" w:hAnsi="仿宋" w:eastAsia="仿宋" w:cs="仿宋"/>
          <w:spacing w:val="-3"/>
          <w:sz w:val="28"/>
        </w:rPr>
      </w:pPr>
      <w:r>
        <w:rPr>
          <w:rFonts w:hint="eastAsia" w:ascii="仿宋" w:hAnsi="仿宋" w:eastAsia="仿宋" w:cs="仿宋"/>
          <w:spacing w:val="-3"/>
          <w:sz w:val="28"/>
        </w:rPr>
        <w:t>内江市第二人民医院：</w:t>
      </w:r>
    </w:p>
    <w:p>
      <w:pPr>
        <w:pStyle w:val="25"/>
        <w:tabs>
          <w:tab w:val="left" w:pos="780"/>
        </w:tabs>
        <w:autoSpaceDE w:val="0"/>
        <w:autoSpaceDN w:val="0"/>
        <w:ind w:firstLine="560" w:firstLineChars="200"/>
        <w:jc w:val="left"/>
        <w:rPr>
          <w:rFonts w:hint="eastAsia" w:ascii="仿宋" w:hAnsi="仿宋" w:eastAsia="仿宋" w:cs="仿宋"/>
          <w:sz w:val="28"/>
        </w:rPr>
      </w:pPr>
      <w:r>
        <w:rPr>
          <w:rFonts w:hint="eastAsia" w:ascii="仿宋" w:hAnsi="仿宋" w:eastAsia="仿宋" w:cs="仿宋"/>
          <w:sz w:val="28"/>
        </w:rPr>
        <w:t>兹</w:t>
      </w:r>
      <w:r>
        <w:rPr>
          <w:rFonts w:hint="eastAsia" w:ascii="仿宋" w:hAnsi="仿宋" w:eastAsia="仿宋" w:cs="仿宋"/>
          <w:spacing w:val="-3"/>
          <w:sz w:val="28"/>
        </w:rPr>
        <w:t>介</w:t>
      </w:r>
      <w:r>
        <w:rPr>
          <w:rFonts w:hint="eastAsia" w:ascii="仿宋" w:hAnsi="仿宋" w:eastAsia="仿宋" w:cs="仿宋"/>
          <w:sz w:val="28"/>
        </w:rPr>
        <w:t>绍我</w:t>
      </w:r>
      <w:r>
        <w:rPr>
          <w:rFonts w:hint="eastAsia" w:ascii="仿宋" w:hAnsi="仿宋" w:eastAsia="仿宋" w:cs="仿宋"/>
          <w:spacing w:val="-3"/>
          <w:sz w:val="28"/>
        </w:rPr>
        <w:t>公</w:t>
      </w:r>
      <w:r>
        <w:rPr>
          <w:rFonts w:hint="eastAsia" w:ascii="仿宋" w:hAnsi="仿宋" w:eastAsia="仿宋" w:cs="仿宋"/>
          <w:sz w:val="28"/>
        </w:rPr>
        <w:t>司</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3"/>
          <w:sz w:val="28"/>
        </w:rPr>
        <w:t>身</w:t>
      </w:r>
      <w:r>
        <w:rPr>
          <w:rFonts w:hint="eastAsia" w:ascii="仿宋" w:hAnsi="仿宋" w:eastAsia="仿宋" w:cs="仿宋"/>
          <w:sz w:val="28"/>
        </w:rPr>
        <w:t>份证</w:t>
      </w:r>
      <w:r>
        <w:rPr>
          <w:rFonts w:hint="eastAsia" w:ascii="仿宋" w:hAnsi="仿宋" w:eastAsia="仿宋" w:cs="仿宋"/>
          <w:spacing w:val="-3"/>
          <w:sz w:val="28"/>
        </w:rPr>
        <w:t>号</w:t>
      </w:r>
      <w:r>
        <w:rPr>
          <w:rFonts w:hint="eastAsia" w:ascii="仿宋" w:hAnsi="仿宋" w:eastAsia="仿宋" w:cs="仿宋"/>
          <w:sz w:val="28"/>
        </w:rPr>
        <w:t>：</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w:t>
      </w:r>
      <w:r>
        <w:rPr>
          <w:rFonts w:hint="eastAsia" w:ascii="仿宋" w:hAnsi="仿宋" w:eastAsia="仿宋" w:cs="仿宋"/>
          <w:spacing w:val="-9"/>
          <w:sz w:val="28"/>
        </w:rPr>
        <w:t>，</w:t>
      </w:r>
      <w:r>
        <w:rPr>
          <w:rFonts w:hint="eastAsia" w:ascii="仿宋" w:hAnsi="仿宋" w:eastAsia="仿宋" w:cs="仿宋"/>
          <w:sz w:val="28"/>
        </w:rPr>
        <w:t>前</w:t>
      </w:r>
      <w:r>
        <w:rPr>
          <w:rFonts w:hint="eastAsia" w:ascii="仿宋" w:hAnsi="仿宋" w:eastAsia="仿宋" w:cs="仿宋"/>
          <w:spacing w:val="-3"/>
          <w:sz w:val="28"/>
        </w:rPr>
        <w:t>往</w:t>
      </w:r>
      <w:r>
        <w:rPr>
          <w:rFonts w:hint="eastAsia" w:ascii="仿宋" w:hAnsi="仿宋" w:eastAsia="仿宋" w:cs="仿宋"/>
          <w:sz w:val="28"/>
        </w:rPr>
        <w:t>你处</w:t>
      </w:r>
      <w:r>
        <w:rPr>
          <w:rFonts w:hint="eastAsia" w:ascii="仿宋" w:hAnsi="仿宋" w:eastAsia="仿宋" w:cs="仿宋"/>
          <w:spacing w:val="-3"/>
          <w:sz w:val="28"/>
        </w:rPr>
        <w:t>办</w:t>
      </w:r>
      <w:r>
        <w:rPr>
          <w:rFonts w:hint="eastAsia" w:ascii="仿宋" w:hAnsi="仿宋" w:eastAsia="仿宋" w:cs="仿宋"/>
          <w:sz w:val="28"/>
        </w:rPr>
        <w:t>理</w:t>
      </w:r>
      <w:r>
        <w:rPr>
          <w:rFonts w:hint="eastAsia" w:ascii="仿宋" w:hAnsi="仿宋" w:eastAsia="仿宋" w:cs="仿宋"/>
          <w:sz w:val="28"/>
          <w:u w:val="single"/>
        </w:rPr>
        <w:tab/>
      </w:r>
      <w:r>
        <w:rPr>
          <w:rFonts w:hint="eastAsia" w:ascii="仿宋" w:hAnsi="仿宋" w:eastAsia="仿宋" w:cs="仿宋"/>
          <w:sz w:val="28"/>
        </w:rPr>
        <w:t>采</w:t>
      </w:r>
      <w:r>
        <w:rPr>
          <w:rFonts w:hint="eastAsia" w:ascii="仿宋" w:hAnsi="仿宋" w:eastAsia="仿宋" w:cs="仿宋"/>
          <w:spacing w:val="-3"/>
          <w:sz w:val="28"/>
        </w:rPr>
        <w:t>购</w:t>
      </w:r>
      <w:r>
        <w:rPr>
          <w:rFonts w:hint="eastAsia" w:ascii="仿宋" w:hAnsi="仿宋" w:eastAsia="仿宋" w:cs="仿宋"/>
          <w:sz w:val="28"/>
        </w:rPr>
        <w:t>项目</w:t>
      </w:r>
      <w:r>
        <w:rPr>
          <w:rFonts w:hint="eastAsia" w:ascii="仿宋" w:hAnsi="仿宋" w:eastAsia="仿宋" w:cs="仿宋"/>
          <w:spacing w:val="-3"/>
          <w:sz w:val="28"/>
        </w:rPr>
        <w:t>的投标</w:t>
      </w:r>
      <w:r>
        <w:rPr>
          <w:rFonts w:hint="eastAsia" w:ascii="仿宋" w:hAnsi="仿宋" w:eastAsia="仿宋" w:cs="仿宋"/>
          <w:sz w:val="28"/>
        </w:rPr>
        <w:t>报名</w:t>
      </w:r>
      <w:r>
        <w:rPr>
          <w:rFonts w:hint="eastAsia" w:ascii="仿宋" w:hAnsi="仿宋" w:eastAsia="仿宋" w:cs="仿宋"/>
          <w:spacing w:val="-3"/>
          <w:sz w:val="28"/>
        </w:rPr>
        <w:t>事</w:t>
      </w:r>
      <w:r>
        <w:rPr>
          <w:rFonts w:hint="eastAsia" w:ascii="仿宋" w:hAnsi="仿宋" w:eastAsia="仿宋" w:cs="仿宋"/>
          <w:sz w:val="28"/>
        </w:rPr>
        <w:t>宜，</w:t>
      </w:r>
      <w:r>
        <w:rPr>
          <w:rFonts w:hint="eastAsia" w:ascii="仿宋" w:hAnsi="仿宋" w:eastAsia="仿宋" w:cs="仿宋"/>
          <w:spacing w:val="-3"/>
          <w:sz w:val="28"/>
        </w:rPr>
        <w:t>请</w:t>
      </w:r>
      <w:r>
        <w:rPr>
          <w:rFonts w:hint="eastAsia" w:ascii="仿宋" w:hAnsi="仿宋" w:eastAsia="仿宋" w:cs="仿宋"/>
          <w:sz w:val="28"/>
        </w:rPr>
        <w:t>予接</w:t>
      </w:r>
      <w:r>
        <w:rPr>
          <w:rFonts w:hint="eastAsia" w:ascii="仿宋" w:hAnsi="仿宋" w:eastAsia="仿宋" w:cs="仿宋"/>
          <w:spacing w:val="-3"/>
          <w:sz w:val="28"/>
        </w:rPr>
        <w:t>洽</w:t>
      </w:r>
      <w:r>
        <w:rPr>
          <w:rFonts w:hint="eastAsia" w:ascii="仿宋" w:hAnsi="仿宋" w:eastAsia="仿宋" w:cs="仿宋"/>
          <w:sz w:val="28"/>
        </w:rPr>
        <w:t>！</w:t>
      </w:r>
    </w:p>
    <w:p>
      <w:pPr>
        <w:pStyle w:val="25"/>
        <w:tabs>
          <w:tab w:val="left" w:pos="780"/>
        </w:tabs>
        <w:autoSpaceDE w:val="0"/>
        <w:autoSpaceDN w:val="0"/>
        <w:ind w:left="210" w:leftChars="100" w:firstLine="0" w:firstLineChars="0"/>
        <w:rPr>
          <w:rFonts w:hint="eastAsia" w:ascii="仿宋" w:hAnsi="仿宋" w:eastAsia="仿宋" w:cs="仿宋"/>
          <w:sz w:val="28"/>
        </w:rPr>
      </w:pPr>
    </w:p>
    <w:p>
      <w:pPr>
        <w:pStyle w:val="25"/>
        <w:tabs>
          <w:tab w:val="left" w:pos="780"/>
        </w:tabs>
        <w:autoSpaceDE w:val="0"/>
        <w:autoSpaceDN w:val="0"/>
        <w:ind w:firstLine="270"/>
        <w:rPr>
          <w:rFonts w:hint="eastAsia" w:ascii="仿宋" w:hAnsi="仿宋" w:eastAsia="仿宋" w:cs="仿宋"/>
          <w:sz w:val="28"/>
        </w:rPr>
      </w:pPr>
      <w:r>
        <w:rPr>
          <w:rFonts w:hint="eastAsia" w:ascii="仿宋" w:hAnsi="仿宋" w:eastAsia="仿宋" w:cs="仿宋"/>
          <w:spacing w:val="-5"/>
          <w:sz w:val="28"/>
        </w:rPr>
        <w:t>公司地址：</w:t>
      </w:r>
    </w:p>
    <w:p>
      <w:pPr>
        <w:pStyle w:val="25"/>
        <w:tabs>
          <w:tab w:val="left" w:pos="780"/>
        </w:tabs>
        <w:ind w:firstLine="276"/>
        <w:rPr>
          <w:rFonts w:hint="eastAsia" w:ascii="仿宋" w:hAnsi="仿宋" w:eastAsia="仿宋" w:cs="仿宋"/>
          <w:spacing w:val="-2"/>
          <w:sz w:val="28"/>
        </w:rPr>
      </w:pPr>
      <w:r>
        <w:rPr>
          <w:rFonts w:hint="eastAsia" w:ascii="仿宋" w:hAnsi="仿宋" w:eastAsia="仿宋" w:cs="仿宋"/>
          <w:spacing w:val="-2"/>
          <w:sz w:val="28"/>
        </w:rPr>
        <w:t>联系人：</w:t>
      </w:r>
    </w:p>
    <w:p>
      <w:pPr>
        <w:pStyle w:val="25"/>
        <w:tabs>
          <w:tab w:val="left" w:pos="780"/>
        </w:tabs>
        <w:ind w:left="210" w:leftChars="100" w:firstLine="0" w:firstLineChars="0"/>
        <w:rPr>
          <w:rFonts w:hint="eastAsia" w:ascii="仿宋" w:hAnsi="仿宋" w:eastAsia="仿宋" w:cs="仿宋"/>
          <w:spacing w:val="-5"/>
          <w:sz w:val="28"/>
        </w:rPr>
      </w:pPr>
      <w:r>
        <w:rPr>
          <w:rFonts w:hint="eastAsia" w:ascii="仿宋" w:hAnsi="仿宋" w:eastAsia="仿宋" w:cs="仿宋"/>
          <w:spacing w:val="-5"/>
          <w:sz w:val="28"/>
        </w:rPr>
        <w:t>联系方式：</w:t>
      </w: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jc w:val="right"/>
        <w:rPr>
          <w:rFonts w:hint="eastAsia" w:ascii="仿宋" w:hAnsi="仿宋" w:eastAsia="仿宋" w:cs="仿宋"/>
          <w:sz w:val="28"/>
        </w:rPr>
      </w:pPr>
      <w:r>
        <w:rPr>
          <w:rFonts w:hint="eastAsia" w:ascii="仿宋" w:hAnsi="仿宋" w:eastAsia="仿宋" w:cs="仿宋"/>
          <w:sz w:val="28"/>
        </w:rPr>
        <w:t xml:space="preserve">          公司名称（加盖鲜章）：</w:t>
      </w:r>
    </w:p>
    <w:p>
      <w:pPr>
        <w:pStyle w:val="25"/>
        <w:tabs>
          <w:tab w:val="left" w:pos="780"/>
        </w:tabs>
        <w:ind w:left="210" w:leftChars="100" w:firstLine="0" w:firstLineChars="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 xml:space="preserve">    </w:t>
      </w:r>
      <w:r>
        <w:rPr>
          <w:rFonts w:hint="eastAsia" w:ascii="仿宋" w:hAnsi="仿宋" w:eastAsia="仿宋" w:cs="仿宋"/>
          <w:sz w:val="28"/>
        </w:rPr>
        <w:t xml:space="preserve">月 </w:t>
      </w:r>
      <w:r>
        <w:rPr>
          <w:rFonts w:hint="eastAsia" w:ascii="仿宋" w:hAnsi="仿宋" w:eastAsia="仿宋" w:cs="仿宋"/>
          <w:sz w:val="28"/>
          <w:lang w:val="en-US" w:eastAsia="zh-CN"/>
        </w:rPr>
        <w:t xml:space="preserve">  </w:t>
      </w:r>
      <w:r>
        <w:rPr>
          <w:rFonts w:hint="eastAsia" w:ascii="仿宋" w:hAnsi="仿宋" w:eastAsia="仿宋" w:cs="仿宋"/>
          <w:sz w:val="28"/>
        </w:rPr>
        <w:t xml:space="preserve"> 日</w:t>
      </w:r>
    </w:p>
    <w:p>
      <w:pPr>
        <w:pStyle w:val="56"/>
        <w:spacing w:beforeLines="0" w:afterLines="0" w:line="240" w:lineRule="auto"/>
        <w:ind w:left="0" w:leftChars="0" w:firstLine="0" w:firstLineChars="0"/>
        <w:rPr>
          <w:rFonts w:hint="eastAsia" w:ascii="仿宋" w:hAnsi="仿宋" w:eastAsia="仿宋" w:cs="仿宋"/>
          <w:spacing w:val="6"/>
          <w:sz w:val="24"/>
        </w:rPr>
      </w:pPr>
    </w:p>
    <w:sectPr>
      <w:pgSz w:w="11906" w:h="16838"/>
      <w:pgMar w:top="1440" w:right="1080" w:bottom="1440" w:left="1080"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31"/>
      </w:rPr>
    </w:pPr>
    <w:r>
      <w:fldChar w:fldCharType="begin"/>
    </w:r>
    <w:r>
      <w:rPr>
        <w:rStyle w:val="31"/>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jc w:val="right"/>
      <w:rPr>
        <w:rStyle w:val="31"/>
        <w:sz w:val="24"/>
      </w:rPr>
    </w:pPr>
    <w:r>
      <w:rPr>
        <w:rStyle w:val="31"/>
        <w:rFonts w:hint="eastAsia"/>
        <w:sz w:val="24"/>
      </w:rPr>
      <w:t>—</w:t>
    </w:r>
    <w:r>
      <w:rPr>
        <w:sz w:val="24"/>
      </w:rPr>
      <w:fldChar w:fldCharType="begin"/>
    </w:r>
    <w:r>
      <w:rPr>
        <w:rStyle w:val="31"/>
        <w:sz w:val="24"/>
      </w:rPr>
      <w:instrText xml:space="preserve"> PAGE </w:instrText>
    </w:r>
    <w:r>
      <w:rPr>
        <w:sz w:val="24"/>
      </w:rPr>
      <w:fldChar w:fldCharType="separate"/>
    </w:r>
    <w:r>
      <w:rPr>
        <w:rStyle w:val="31"/>
        <w:sz w:val="24"/>
      </w:rPr>
      <w:t>2</w:t>
    </w:r>
    <w:r>
      <w:rPr>
        <w:sz w:val="24"/>
      </w:rPr>
      <w:fldChar w:fldCharType="end"/>
    </w:r>
    <w:r>
      <w:rPr>
        <w:rStyle w:val="31"/>
        <w:rFonts w:hint="eastAsia"/>
        <w:sz w:val="24"/>
      </w:rPr>
      <w:t>—</w:t>
    </w:r>
  </w:p>
  <w:p>
    <w:pPr>
      <w:pStyle w:val="15"/>
      <w:tabs>
        <w:tab w:val="clear" w:pos="4153"/>
        <w:tab w:val="clear" w:pos="8306"/>
      </w:tabs>
      <w:ind w:left="350" w:right="360" w:firstLine="360"/>
      <w:rPr>
        <w:rFonts w:ascii="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203D9"/>
    <w:multiLevelType w:val="singleLevel"/>
    <w:tmpl w:val="EE7203D9"/>
    <w:lvl w:ilvl="0" w:tentative="0">
      <w:start w:val="2"/>
      <w:numFmt w:val="decimal"/>
      <w:suff w:val="nothing"/>
      <w:lvlText w:val="（%1）"/>
      <w:lvlJc w:val="left"/>
      <w:pPr>
        <w:ind w:left="131"/>
      </w:pPr>
    </w:lvl>
  </w:abstractNum>
  <w:abstractNum w:abstractNumId="1">
    <w:nsid w:val="0000000A"/>
    <w:multiLevelType w:val="multilevel"/>
    <w:tmpl w:val="0000000A"/>
    <w:lvl w:ilvl="0" w:tentative="0">
      <w:start w:val="1"/>
      <w:numFmt w:val="decimal"/>
      <w:pStyle w:val="64"/>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mFhYjc0OTcyOGVjYzFlYjdmM2UzZTU0ZmU5MjcifQ=="/>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80447D"/>
    <w:rsid w:val="01A21D3D"/>
    <w:rsid w:val="01B51562"/>
    <w:rsid w:val="02384772"/>
    <w:rsid w:val="02837E43"/>
    <w:rsid w:val="02B250DA"/>
    <w:rsid w:val="02B65CE1"/>
    <w:rsid w:val="02B73E03"/>
    <w:rsid w:val="02B74C4E"/>
    <w:rsid w:val="02EB4148"/>
    <w:rsid w:val="031739DA"/>
    <w:rsid w:val="036F2FD6"/>
    <w:rsid w:val="03863979"/>
    <w:rsid w:val="03AA2179"/>
    <w:rsid w:val="03C2134C"/>
    <w:rsid w:val="03DA40D8"/>
    <w:rsid w:val="03DB6784"/>
    <w:rsid w:val="042527B5"/>
    <w:rsid w:val="04496A42"/>
    <w:rsid w:val="044C30A9"/>
    <w:rsid w:val="044E519E"/>
    <w:rsid w:val="04631163"/>
    <w:rsid w:val="0483108D"/>
    <w:rsid w:val="048434DF"/>
    <w:rsid w:val="048F7079"/>
    <w:rsid w:val="04A57A62"/>
    <w:rsid w:val="04E6106A"/>
    <w:rsid w:val="04F526CD"/>
    <w:rsid w:val="050869B7"/>
    <w:rsid w:val="050D1D59"/>
    <w:rsid w:val="05372314"/>
    <w:rsid w:val="058A4E74"/>
    <w:rsid w:val="058B2EB5"/>
    <w:rsid w:val="05DB36AB"/>
    <w:rsid w:val="05F501FF"/>
    <w:rsid w:val="06100B77"/>
    <w:rsid w:val="06470A0A"/>
    <w:rsid w:val="071A5176"/>
    <w:rsid w:val="072645C7"/>
    <w:rsid w:val="0741234B"/>
    <w:rsid w:val="07496FBD"/>
    <w:rsid w:val="07771861"/>
    <w:rsid w:val="07AB45BC"/>
    <w:rsid w:val="07AF0CD6"/>
    <w:rsid w:val="07C16E80"/>
    <w:rsid w:val="07C505B3"/>
    <w:rsid w:val="07DD40F6"/>
    <w:rsid w:val="07FE730B"/>
    <w:rsid w:val="08AA7C8A"/>
    <w:rsid w:val="08E21663"/>
    <w:rsid w:val="09B713FD"/>
    <w:rsid w:val="09C75982"/>
    <w:rsid w:val="09DB0338"/>
    <w:rsid w:val="09DB46E0"/>
    <w:rsid w:val="0A1A6F23"/>
    <w:rsid w:val="0A1D4625"/>
    <w:rsid w:val="0A5B20C3"/>
    <w:rsid w:val="0A6839D1"/>
    <w:rsid w:val="0A85631C"/>
    <w:rsid w:val="0ABB1E3D"/>
    <w:rsid w:val="0ACE1024"/>
    <w:rsid w:val="0B0E72F0"/>
    <w:rsid w:val="0B177A38"/>
    <w:rsid w:val="0B3401BE"/>
    <w:rsid w:val="0B69565E"/>
    <w:rsid w:val="0B8041FE"/>
    <w:rsid w:val="0C252478"/>
    <w:rsid w:val="0C28650E"/>
    <w:rsid w:val="0C6C3101"/>
    <w:rsid w:val="0CDF0F78"/>
    <w:rsid w:val="0DAB6810"/>
    <w:rsid w:val="0DD71E42"/>
    <w:rsid w:val="0DEA2FE1"/>
    <w:rsid w:val="0E0529BD"/>
    <w:rsid w:val="0E5771C1"/>
    <w:rsid w:val="0E7F17BE"/>
    <w:rsid w:val="0EAA03A6"/>
    <w:rsid w:val="0F6F5849"/>
    <w:rsid w:val="0F754128"/>
    <w:rsid w:val="0F7A7FED"/>
    <w:rsid w:val="0FD61C59"/>
    <w:rsid w:val="0FDC19F9"/>
    <w:rsid w:val="10491C47"/>
    <w:rsid w:val="1051726A"/>
    <w:rsid w:val="113A6C7D"/>
    <w:rsid w:val="1147133C"/>
    <w:rsid w:val="11C101AE"/>
    <w:rsid w:val="11D27350"/>
    <w:rsid w:val="12011916"/>
    <w:rsid w:val="120B449F"/>
    <w:rsid w:val="122C46CF"/>
    <w:rsid w:val="12344C6A"/>
    <w:rsid w:val="125D56B4"/>
    <w:rsid w:val="12635AA8"/>
    <w:rsid w:val="126F08F1"/>
    <w:rsid w:val="12A13339"/>
    <w:rsid w:val="12D94E6B"/>
    <w:rsid w:val="130A26E8"/>
    <w:rsid w:val="1347382D"/>
    <w:rsid w:val="13680854"/>
    <w:rsid w:val="13686993"/>
    <w:rsid w:val="137A57A0"/>
    <w:rsid w:val="1382238D"/>
    <w:rsid w:val="13C72799"/>
    <w:rsid w:val="13D42198"/>
    <w:rsid w:val="13DD188A"/>
    <w:rsid w:val="13F77868"/>
    <w:rsid w:val="142C75FD"/>
    <w:rsid w:val="14531B4D"/>
    <w:rsid w:val="14A238A8"/>
    <w:rsid w:val="14E56775"/>
    <w:rsid w:val="14FF1B5A"/>
    <w:rsid w:val="152C0A39"/>
    <w:rsid w:val="152C4CD8"/>
    <w:rsid w:val="15340C6E"/>
    <w:rsid w:val="15482E5F"/>
    <w:rsid w:val="15696A21"/>
    <w:rsid w:val="157079BA"/>
    <w:rsid w:val="159E62E4"/>
    <w:rsid w:val="15A60811"/>
    <w:rsid w:val="15B745F0"/>
    <w:rsid w:val="15CD44D1"/>
    <w:rsid w:val="16246EDB"/>
    <w:rsid w:val="16B91F00"/>
    <w:rsid w:val="174D105C"/>
    <w:rsid w:val="1767625D"/>
    <w:rsid w:val="178B06E4"/>
    <w:rsid w:val="179B57B2"/>
    <w:rsid w:val="17BD20FF"/>
    <w:rsid w:val="17E85102"/>
    <w:rsid w:val="180713D4"/>
    <w:rsid w:val="183428FF"/>
    <w:rsid w:val="18505884"/>
    <w:rsid w:val="185B5474"/>
    <w:rsid w:val="18696110"/>
    <w:rsid w:val="188C597E"/>
    <w:rsid w:val="18950502"/>
    <w:rsid w:val="18997E67"/>
    <w:rsid w:val="18B22F8F"/>
    <w:rsid w:val="18B30A11"/>
    <w:rsid w:val="19514A09"/>
    <w:rsid w:val="19B97774"/>
    <w:rsid w:val="19CF7EC7"/>
    <w:rsid w:val="19D81CB0"/>
    <w:rsid w:val="19DC50BC"/>
    <w:rsid w:val="1A2136D7"/>
    <w:rsid w:val="1A2750FE"/>
    <w:rsid w:val="1A7C783B"/>
    <w:rsid w:val="1A857A12"/>
    <w:rsid w:val="1A975377"/>
    <w:rsid w:val="1AAC7AA9"/>
    <w:rsid w:val="1AE01A47"/>
    <w:rsid w:val="1AE81CB5"/>
    <w:rsid w:val="1B3B4FB0"/>
    <w:rsid w:val="1B4723D6"/>
    <w:rsid w:val="1B740D26"/>
    <w:rsid w:val="1B75316E"/>
    <w:rsid w:val="1BA74394"/>
    <w:rsid w:val="1BBD4DEA"/>
    <w:rsid w:val="1BC54005"/>
    <w:rsid w:val="1BC835EB"/>
    <w:rsid w:val="1BC84A06"/>
    <w:rsid w:val="1BF82C9D"/>
    <w:rsid w:val="1C071A5F"/>
    <w:rsid w:val="1C0D408C"/>
    <w:rsid w:val="1C17422C"/>
    <w:rsid w:val="1C201793"/>
    <w:rsid w:val="1C535684"/>
    <w:rsid w:val="1C847407"/>
    <w:rsid w:val="1CAB5CA0"/>
    <w:rsid w:val="1CDB5968"/>
    <w:rsid w:val="1D0A19F7"/>
    <w:rsid w:val="1D1A1B0F"/>
    <w:rsid w:val="1D436CAF"/>
    <w:rsid w:val="1D795467"/>
    <w:rsid w:val="1D7F2B98"/>
    <w:rsid w:val="1D7F6992"/>
    <w:rsid w:val="1DB37BCA"/>
    <w:rsid w:val="1DDB202E"/>
    <w:rsid w:val="1E0E3C2E"/>
    <w:rsid w:val="1E256C37"/>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F357C"/>
    <w:rsid w:val="204A6A20"/>
    <w:rsid w:val="205A2C47"/>
    <w:rsid w:val="20A11517"/>
    <w:rsid w:val="20B33174"/>
    <w:rsid w:val="20BB6D6F"/>
    <w:rsid w:val="20D97055"/>
    <w:rsid w:val="215608E4"/>
    <w:rsid w:val="215751EB"/>
    <w:rsid w:val="21B45B5C"/>
    <w:rsid w:val="21D83A90"/>
    <w:rsid w:val="21E31410"/>
    <w:rsid w:val="221B546F"/>
    <w:rsid w:val="22453DC6"/>
    <w:rsid w:val="226573E0"/>
    <w:rsid w:val="229970D3"/>
    <w:rsid w:val="22C15974"/>
    <w:rsid w:val="22DF73CD"/>
    <w:rsid w:val="22EF67DD"/>
    <w:rsid w:val="230961F8"/>
    <w:rsid w:val="231D56F8"/>
    <w:rsid w:val="238237CD"/>
    <w:rsid w:val="23B6279A"/>
    <w:rsid w:val="23FA3686"/>
    <w:rsid w:val="24236B3E"/>
    <w:rsid w:val="244F38A2"/>
    <w:rsid w:val="248420F6"/>
    <w:rsid w:val="24DE0A7C"/>
    <w:rsid w:val="24FB0E3B"/>
    <w:rsid w:val="250A6257"/>
    <w:rsid w:val="25146381"/>
    <w:rsid w:val="255E30DE"/>
    <w:rsid w:val="25631DD3"/>
    <w:rsid w:val="259301C8"/>
    <w:rsid w:val="26303A95"/>
    <w:rsid w:val="26963BBE"/>
    <w:rsid w:val="26DF7BD4"/>
    <w:rsid w:val="26EE4C05"/>
    <w:rsid w:val="26EF07F8"/>
    <w:rsid w:val="26F77C77"/>
    <w:rsid w:val="272560F0"/>
    <w:rsid w:val="273B4DEE"/>
    <w:rsid w:val="27827560"/>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A031B7E"/>
    <w:rsid w:val="2A04419A"/>
    <w:rsid w:val="2A055081"/>
    <w:rsid w:val="2A2D6AB7"/>
    <w:rsid w:val="2ABB2249"/>
    <w:rsid w:val="2ADB5D35"/>
    <w:rsid w:val="2B350DEC"/>
    <w:rsid w:val="2B4F4C02"/>
    <w:rsid w:val="2B6551C5"/>
    <w:rsid w:val="2B7319D4"/>
    <w:rsid w:val="2B7938DE"/>
    <w:rsid w:val="2BCB7E65"/>
    <w:rsid w:val="2C0E2ED8"/>
    <w:rsid w:val="2C6F28E1"/>
    <w:rsid w:val="2C965F5C"/>
    <w:rsid w:val="2CC219D3"/>
    <w:rsid w:val="2CCD2C57"/>
    <w:rsid w:val="2CD57B7D"/>
    <w:rsid w:val="2CD8285F"/>
    <w:rsid w:val="2D12240A"/>
    <w:rsid w:val="2D550D9D"/>
    <w:rsid w:val="2DAE25D7"/>
    <w:rsid w:val="2DB670D2"/>
    <w:rsid w:val="2DB92423"/>
    <w:rsid w:val="2E3B6964"/>
    <w:rsid w:val="2E5C4E1A"/>
    <w:rsid w:val="2E9C0B50"/>
    <w:rsid w:val="2E9F2106"/>
    <w:rsid w:val="2EA93427"/>
    <w:rsid w:val="2EBD1FE4"/>
    <w:rsid w:val="2F30495B"/>
    <w:rsid w:val="2F42140D"/>
    <w:rsid w:val="2F8A630F"/>
    <w:rsid w:val="2F94457A"/>
    <w:rsid w:val="2FD56706"/>
    <w:rsid w:val="2FF00B6A"/>
    <w:rsid w:val="300F45D3"/>
    <w:rsid w:val="304E414F"/>
    <w:rsid w:val="308610DD"/>
    <w:rsid w:val="30940AE9"/>
    <w:rsid w:val="309579E2"/>
    <w:rsid w:val="311A34BA"/>
    <w:rsid w:val="31260765"/>
    <w:rsid w:val="312723A4"/>
    <w:rsid w:val="3139239E"/>
    <w:rsid w:val="31642694"/>
    <w:rsid w:val="316B44A5"/>
    <w:rsid w:val="319C416D"/>
    <w:rsid w:val="31F5694C"/>
    <w:rsid w:val="326651EE"/>
    <w:rsid w:val="32917FE4"/>
    <w:rsid w:val="32AF3719"/>
    <w:rsid w:val="32C63436"/>
    <w:rsid w:val="330D1DE7"/>
    <w:rsid w:val="334815FA"/>
    <w:rsid w:val="33A15DD6"/>
    <w:rsid w:val="33FC3CFE"/>
    <w:rsid w:val="34060532"/>
    <w:rsid w:val="34227A43"/>
    <w:rsid w:val="34232A0B"/>
    <w:rsid w:val="34347FD1"/>
    <w:rsid w:val="34357F34"/>
    <w:rsid w:val="34420413"/>
    <w:rsid w:val="344B1471"/>
    <w:rsid w:val="347F73A7"/>
    <w:rsid w:val="34805B07"/>
    <w:rsid w:val="349F5879"/>
    <w:rsid w:val="34EB7709"/>
    <w:rsid w:val="34EE2F66"/>
    <w:rsid w:val="3514706C"/>
    <w:rsid w:val="352E07B0"/>
    <w:rsid w:val="35301ADB"/>
    <w:rsid w:val="353B7F7E"/>
    <w:rsid w:val="35471076"/>
    <w:rsid w:val="357447FB"/>
    <w:rsid w:val="35FB5458"/>
    <w:rsid w:val="35FC7E8E"/>
    <w:rsid w:val="35FE1B07"/>
    <w:rsid w:val="35FF2A95"/>
    <w:rsid w:val="360213C0"/>
    <w:rsid w:val="36250C98"/>
    <w:rsid w:val="366119A9"/>
    <w:rsid w:val="36625FB4"/>
    <w:rsid w:val="369435FF"/>
    <w:rsid w:val="36947AC8"/>
    <w:rsid w:val="36A06031"/>
    <w:rsid w:val="36A720B0"/>
    <w:rsid w:val="36B14785"/>
    <w:rsid w:val="36BF0C62"/>
    <w:rsid w:val="36D0394F"/>
    <w:rsid w:val="36DA6914"/>
    <w:rsid w:val="372A5D57"/>
    <w:rsid w:val="373D13A3"/>
    <w:rsid w:val="376B0818"/>
    <w:rsid w:val="37B56952"/>
    <w:rsid w:val="37CE75B8"/>
    <w:rsid w:val="37DC695C"/>
    <w:rsid w:val="37E9418D"/>
    <w:rsid w:val="37FA03AE"/>
    <w:rsid w:val="386E76A4"/>
    <w:rsid w:val="388E4356"/>
    <w:rsid w:val="38AB4636"/>
    <w:rsid w:val="390E2362"/>
    <w:rsid w:val="3922319E"/>
    <w:rsid w:val="393E12BD"/>
    <w:rsid w:val="39497E5B"/>
    <w:rsid w:val="398C207A"/>
    <w:rsid w:val="39C34CA9"/>
    <w:rsid w:val="39D810A4"/>
    <w:rsid w:val="39F871AB"/>
    <w:rsid w:val="3A7239A3"/>
    <w:rsid w:val="3ABD5C6F"/>
    <w:rsid w:val="3AF06796"/>
    <w:rsid w:val="3AFB2473"/>
    <w:rsid w:val="3B0C5490"/>
    <w:rsid w:val="3B2222F9"/>
    <w:rsid w:val="3B563AA2"/>
    <w:rsid w:val="3BA74C1A"/>
    <w:rsid w:val="3C0E4317"/>
    <w:rsid w:val="3C1049F2"/>
    <w:rsid w:val="3C7732EA"/>
    <w:rsid w:val="3C8B7798"/>
    <w:rsid w:val="3CC46A05"/>
    <w:rsid w:val="3CC72BE0"/>
    <w:rsid w:val="3CDA4CE5"/>
    <w:rsid w:val="3CE358B4"/>
    <w:rsid w:val="3D043926"/>
    <w:rsid w:val="3D5567CA"/>
    <w:rsid w:val="3D6D6452"/>
    <w:rsid w:val="3D935AB6"/>
    <w:rsid w:val="3DEE6DAB"/>
    <w:rsid w:val="3E43297C"/>
    <w:rsid w:val="3E7C1E93"/>
    <w:rsid w:val="3EA770F2"/>
    <w:rsid w:val="3EED0D89"/>
    <w:rsid w:val="3F28582E"/>
    <w:rsid w:val="3F425262"/>
    <w:rsid w:val="3F4F4E87"/>
    <w:rsid w:val="3F910DBD"/>
    <w:rsid w:val="3F923D11"/>
    <w:rsid w:val="3FA34643"/>
    <w:rsid w:val="3FE279AB"/>
    <w:rsid w:val="3FEA44AB"/>
    <w:rsid w:val="400A03A0"/>
    <w:rsid w:val="402650B7"/>
    <w:rsid w:val="402E3A57"/>
    <w:rsid w:val="4033526C"/>
    <w:rsid w:val="40660F55"/>
    <w:rsid w:val="408F6312"/>
    <w:rsid w:val="41175B2C"/>
    <w:rsid w:val="41464524"/>
    <w:rsid w:val="41477DA7"/>
    <w:rsid w:val="414E1806"/>
    <w:rsid w:val="41687D06"/>
    <w:rsid w:val="416E4334"/>
    <w:rsid w:val="419674C5"/>
    <w:rsid w:val="41BC3F08"/>
    <w:rsid w:val="41D95BE2"/>
    <w:rsid w:val="41E920EF"/>
    <w:rsid w:val="42194FEE"/>
    <w:rsid w:val="42920CC3"/>
    <w:rsid w:val="42A9773F"/>
    <w:rsid w:val="42C24D5C"/>
    <w:rsid w:val="42F77FC5"/>
    <w:rsid w:val="43132B80"/>
    <w:rsid w:val="43461A6B"/>
    <w:rsid w:val="438C7730"/>
    <w:rsid w:val="43996CF5"/>
    <w:rsid w:val="43C44D4B"/>
    <w:rsid w:val="43DF4DF2"/>
    <w:rsid w:val="441546C2"/>
    <w:rsid w:val="443015D7"/>
    <w:rsid w:val="443303EF"/>
    <w:rsid w:val="44646BA5"/>
    <w:rsid w:val="449F7CE0"/>
    <w:rsid w:val="44E36014"/>
    <w:rsid w:val="453D79A8"/>
    <w:rsid w:val="459A7D41"/>
    <w:rsid w:val="459B0888"/>
    <w:rsid w:val="45AA6CD7"/>
    <w:rsid w:val="45B04F95"/>
    <w:rsid w:val="45D36C0F"/>
    <w:rsid w:val="45D43AC9"/>
    <w:rsid w:val="46441082"/>
    <w:rsid w:val="4663751B"/>
    <w:rsid w:val="469A0A8B"/>
    <w:rsid w:val="46CD560B"/>
    <w:rsid w:val="46D61CC7"/>
    <w:rsid w:val="46F224F1"/>
    <w:rsid w:val="46F91AC9"/>
    <w:rsid w:val="46FA3EE3"/>
    <w:rsid w:val="46FE3DEF"/>
    <w:rsid w:val="47232030"/>
    <w:rsid w:val="47736BD3"/>
    <w:rsid w:val="47E76F02"/>
    <w:rsid w:val="48091EDA"/>
    <w:rsid w:val="481A246D"/>
    <w:rsid w:val="48353A68"/>
    <w:rsid w:val="48542D80"/>
    <w:rsid w:val="489F4D36"/>
    <w:rsid w:val="48AE26AE"/>
    <w:rsid w:val="48B60ED8"/>
    <w:rsid w:val="48C06108"/>
    <w:rsid w:val="49136EC8"/>
    <w:rsid w:val="49173F35"/>
    <w:rsid w:val="494055B9"/>
    <w:rsid w:val="495415A0"/>
    <w:rsid w:val="498460AE"/>
    <w:rsid w:val="49BA3F78"/>
    <w:rsid w:val="49C2488D"/>
    <w:rsid w:val="4A092A83"/>
    <w:rsid w:val="4A6928C2"/>
    <w:rsid w:val="4AA407E6"/>
    <w:rsid w:val="4AA954D0"/>
    <w:rsid w:val="4AEE0894"/>
    <w:rsid w:val="4B1F3C01"/>
    <w:rsid w:val="4B5A1756"/>
    <w:rsid w:val="4B6860EA"/>
    <w:rsid w:val="4B7E622C"/>
    <w:rsid w:val="4B8D163C"/>
    <w:rsid w:val="4BA92800"/>
    <w:rsid w:val="4BBF60F2"/>
    <w:rsid w:val="4BE75898"/>
    <w:rsid w:val="4C0360C1"/>
    <w:rsid w:val="4C0D3C71"/>
    <w:rsid w:val="4C3C3207"/>
    <w:rsid w:val="4C40671A"/>
    <w:rsid w:val="4C5216C4"/>
    <w:rsid w:val="4C656166"/>
    <w:rsid w:val="4C6D3E72"/>
    <w:rsid w:val="4D3A1864"/>
    <w:rsid w:val="4D5D31D9"/>
    <w:rsid w:val="4D5F79D4"/>
    <w:rsid w:val="4D6B3488"/>
    <w:rsid w:val="4D9B295F"/>
    <w:rsid w:val="4DF22B83"/>
    <w:rsid w:val="4DF8684D"/>
    <w:rsid w:val="4E026137"/>
    <w:rsid w:val="4E575062"/>
    <w:rsid w:val="4E6423A8"/>
    <w:rsid w:val="4E857AD2"/>
    <w:rsid w:val="4E8D576B"/>
    <w:rsid w:val="4EBC7DE9"/>
    <w:rsid w:val="4F264AB7"/>
    <w:rsid w:val="4F922C61"/>
    <w:rsid w:val="4FC50CEB"/>
    <w:rsid w:val="4FFF344E"/>
    <w:rsid w:val="50151DD1"/>
    <w:rsid w:val="50436E98"/>
    <w:rsid w:val="50602B4C"/>
    <w:rsid w:val="50A22BE5"/>
    <w:rsid w:val="50AE33FE"/>
    <w:rsid w:val="50B17498"/>
    <w:rsid w:val="50E336C1"/>
    <w:rsid w:val="5115113C"/>
    <w:rsid w:val="51411058"/>
    <w:rsid w:val="517D16C1"/>
    <w:rsid w:val="51DC3583"/>
    <w:rsid w:val="522A5817"/>
    <w:rsid w:val="52510BEB"/>
    <w:rsid w:val="52B85924"/>
    <w:rsid w:val="52C4745A"/>
    <w:rsid w:val="52F306A1"/>
    <w:rsid w:val="52F9317D"/>
    <w:rsid w:val="531371D9"/>
    <w:rsid w:val="533F6D3C"/>
    <w:rsid w:val="53852458"/>
    <w:rsid w:val="53AA2BCF"/>
    <w:rsid w:val="53E460B6"/>
    <w:rsid w:val="53E772B7"/>
    <w:rsid w:val="54372D41"/>
    <w:rsid w:val="544502D0"/>
    <w:rsid w:val="5463107D"/>
    <w:rsid w:val="54793D50"/>
    <w:rsid w:val="547E6196"/>
    <w:rsid w:val="54DD0A4D"/>
    <w:rsid w:val="54EA1585"/>
    <w:rsid w:val="55276C44"/>
    <w:rsid w:val="55372518"/>
    <w:rsid w:val="55581F01"/>
    <w:rsid w:val="55591A80"/>
    <w:rsid w:val="55823B2C"/>
    <w:rsid w:val="5589337C"/>
    <w:rsid w:val="55DD766C"/>
    <w:rsid w:val="5631575F"/>
    <w:rsid w:val="56685D7E"/>
    <w:rsid w:val="56937AEE"/>
    <w:rsid w:val="569E7481"/>
    <w:rsid w:val="56C00C67"/>
    <w:rsid w:val="57042993"/>
    <w:rsid w:val="571B3010"/>
    <w:rsid w:val="574A4FE9"/>
    <w:rsid w:val="57522CE5"/>
    <w:rsid w:val="576C64CF"/>
    <w:rsid w:val="5779020C"/>
    <w:rsid w:val="577D61D8"/>
    <w:rsid w:val="579A08D9"/>
    <w:rsid w:val="57F328C8"/>
    <w:rsid w:val="586A6F49"/>
    <w:rsid w:val="58E41D08"/>
    <w:rsid w:val="590824D3"/>
    <w:rsid w:val="5921524A"/>
    <w:rsid w:val="592E6ADF"/>
    <w:rsid w:val="59706EEA"/>
    <w:rsid w:val="59D409FB"/>
    <w:rsid w:val="59D836F4"/>
    <w:rsid w:val="59EB4E37"/>
    <w:rsid w:val="59FC002C"/>
    <w:rsid w:val="5A190AD8"/>
    <w:rsid w:val="5A517B3B"/>
    <w:rsid w:val="5A55141E"/>
    <w:rsid w:val="5AC77D4A"/>
    <w:rsid w:val="5B077835"/>
    <w:rsid w:val="5BE722FE"/>
    <w:rsid w:val="5C1D0D6B"/>
    <w:rsid w:val="5C385BE0"/>
    <w:rsid w:val="5C94662F"/>
    <w:rsid w:val="5CC8272E"/>
    <w:rsid w:val="5CD417E9"/>
    <w:rsid w:val="5CE77838"/>
    <w:rsid w:val="5CEE2EA3"/>
    <w:rsid w:val="5D0A54ED"/>
    <w:rsid w:val="5D0C1038"/>
    <w:rsid w:val="5D1E0517"/>
    <w:rsid w:val="5D3A0883"/>
    <w:rsid w:val="5D456435"/>
    <w:rsid w:val="5D515066"/>
    <w:rsid w:val="5D630D2A"/>
    <w:rsid w:val="5D6D04C5"/>
    <w:rsid w:val="5D8E22AD"/>
    <w:rsid w:val="5DC62B2B"/>
    <w:rsid w:val="5DEB4E23"/>
    <w:rsid w:val="5DF7556B"/>
    <w:rsid w:val="5E066BB5"/>
    <w:rsid w:val="5E567D56"/>
    <w:rsid w:val="5E9D5EA5"/>
    <w:rsid w:val="5EBE09FF"/>
    <w:rsid w:val="5F117B84"/>
    <w:rsid w:val="5F1F5F94"/>
    <w:rsid w:val="5F30625B"/>
    <w:rsid w:val="5F351803"/>
    <w:rsid w:val="5F5E7283"/>
    <w:rsid w:val="5F7360A5"/>
    <w:rsid w:val="5F9D69F8"/>
    <w:rsid w:val="5F9F7CED"/>
    <w:rsid w:val="5FDB7B52"/>
    <w:rsid w:val="5FE03FD9"/>
    <w:rsid w:val="5FF26274"/>
    <w:rsid w:val="5FF805B8"/>
    <w:rsid w:val="6001520E"/>
    <w:rsid w:val="60033294"/>
    <w:rsid w:val="60144209"/>
    <w:rsid w:val="60331C19"/>
    <w:rsid w:val="60BD41DB"/>
    <w:rsid w:val="60BF60D4"/>
    <w:rsid w:val="60DF7FBD"/>
    <w:rsid w:val="61142DBA"/>
    <w:rsid w:val="611B62E0"/>
    <w:rsid w:val="613C0A12"/>
    <w:rsid w:val="614222A7"/>
    <w:rsid w:val="61A04E0C"/>
    <w:rsid w:val="61AF002F"/>
    <w:rsid w:val="62467D8C"/>
    <w:rsid w:val="62515DFA"/>
    <w:rsid w:val="629B7909"/>
    <w:rsid w:val="62A47E1B"/>
    <w:rsid w:val="62CD46C0"/>
    <w:rsid w:val="62D949B7"/>
    <w:rsid w:val="62DD5FD3"/>
    <w:rsid w:val="62F176D5"/>
    <w:rsid w:val="63246334"/>
    <w:rsid w:val="636C7DAE"/>
    <w:rsid w:val="637F7802"/>
    <w:rsid w:val="63C734F1"/>
    <w:rsid w:val="63D72FD2"/>
    <w:rsid w:val="63DA388A"/>
    <w:rsid w:val="64621C26"/>
    <w:rsid w:val="646A48E0"/>
    <w:rsid w:val="64984662"/>
    <w:rsid w:val="64A5600E"/>
    <w:rsid w:val="64BC09D4"/>
    <w:rsid w:val="64C3035F"/>
    <w:rsid w:val="65171D31"/>
    <w:rsid w:val="651936B0"/>
    <w:rsid w:val="651C29C0"/>
    <w:rsid w:val="656D2D76"/>
    <w:rsid w:val="657724D0"/>
    <w:rsid w:val="657D3011"/>
    <w:rsid w:val="65833E7B"/>
    <w:rsid w:val="65BA5924"/>
    <w:rsid w:val="663C6EBB"/>
    <w:rsid w:val="669036C0"/>
    <w:rsid w:val="66AC1B17"/>
    <w:rsid w:val="67A57701"/>
    <w:rsid w:val="67AA4C69"/>
    <w:rsid w:val="67BA3F18"/>
    <w:rsid w:val="680E4244"/>
    <w:rsid w:val="681F3F25"/>
    <w:rsid w:val="68227FC3"/>
    <w:rsid w:val="684138E0"/>
    <w:rsid w:val="68EC552D"/>
    <w:rsid w:val="694E1876"/>
    <w:rsid w:val="697F31CD"/>
    <w:rsid w:val="69C6665D"/>
    <w:rsid w:val="69F577F5"/>
    <w:rsid w:val="6A6F7E1D"/>
    <w:rsid w:val="6A9208F4"/>
    <w:rsid w:val="6AD2788A"/>
    <w:rsid w:val="6AD731AF"/>
    <w:rsid w:val="6AFB3C45"/>
    <w:rsid w:val="6B1E3F3A"/>
    <w:rsid w:val="6B5C7FB9"/>
    <w:rsid w:val="6B606F00"/>
    <w:rsid w:val="6B745BDA"/>
    <w:rsid w:val="6B7A17DB"/>
    <w:rsid w:val="6BB0310A"/>
    <w:rsid w:val="6BB17FF5"/>
    <w:rsid w:val="6BC70D2A"/>
    <w:rsid w:val="6BF07522"/>
    <w:rsid w:val="6BF46909"/>
    <w:rsid w:val="6BFE44B9"/>
    <w:rsid w:val="6C013136"/>
    <w:rsid w:val="6C1856C3"/>
    <w:rsid w:val="6C1A3942"/>
    <w:rsid w:val="6C7553FD"/>
    <w:rsid w:val="6C7D6643"/>
    <w:rsid w:val="6C864EA6"/>
    <w:rsid w:val="6CB55F99"/>
    <w:rsid w:val="6D182C64"/>
    <w:rsid w:val="6D1C60F5"/>
    <w:rsid w:val="6D5E19D4"/>
    <w:rsid w:val="6D782286"/>
    <w:rsid w:val="6D9D42C7"/>
    <w:rsid w:val="6DA57AB5"/>
    <w:rsid w:val="6DAA64AD"/>
    <w:rsid w:val="6DCE4C72"/>
    <w:rsid w:val="6DF552CE"/>
    <w:rsid w:val="6EA41DF8"/>
    <w:rsid w:val="6EAD1BA4"/>
    <w:rsid w:val="6EBF1ABE"/>
    <w:rsid w:val="6F1242E1"/>
    <w:rsid w:val="6F314061"/>
    <w:rsid w:val="6FE85B08"/>
    <w:rsid w:val="6FFC1E64"/>
    <w:rsid w:val="703A1E9F"/>
    <w:rsid w:val="703F2826"/>
    <w:rsid w:val="706B450E"/>
    <w:rsid w:val="707B6E3F"/>
    <w:rsid w:val="70951A45"/>
    <w:rsid w:val="70D43F5C"/>
    <w:rsid w:val="717A6480"/>
    <w:rsid w:val="7191735E"/>
    <w:rsid w:val="71B30E36"/>
    <w:rsid w:val="71C852BA"/>
    <w:rsid w:val="7200343C"/>
    <w:rsid w:val="723568B0"/>
    <w:rsid w:val="724E428C"/>
    <w:rsid w:val="72550FC7"/>
    <w:rsid w:val="72AD20B4"/>
    <w:rsid w:val="72EB114B"/>
    <w:rsid w:val="73000F62"/>
    <w:rsid w:val="730E33D2"/>
    <w:rsid w:val="731735E6"/>
    <w:rsid w:val="735F553E"/>
    <w:rsid w:val="73C37530"/>
    <w:rsid w:val="74921D32"/>
    <w:rsid w:val="74B54A08"/>
    <w:rsid w:val="75461CB6"/>
    <w:rsid w:val="755521A4"/>
    <w:rsid w:val="75747EF1"/>
    <w:rsid w:val="75834B7F"/>
    <w:rsid w:val="75A34D6C"/>
    <w:rsid w:val="75B160FA"/>
    <w:rsid w:val="75D528E1"/>
    <w:rsid w:val="75FA02D2"/>
    <w:rsid w:val="75FF0C10"/>
    <w:rsid w:val="7635363D"/>
    <w:rsid w:val="76723FFE"/>
    <w:rsid w:val="76A906EB"/>
    <w:rsid w:val="76BF38CD"/>
    <w:rsid w:val="76C77315"/>
    <w:rsid w:val="770664D6"/>
    <w:rsid w:val="77127DA6"/>
    <w:rsid w:val="773E034D"/>
    <w:rsid w:val="77416E84"/>
    <w:rsid w:val="775D3FDC"/>
    <w:rsid w:val="77617AE9"/>
    <w:rsid w:val="779F004E"/>
    <w:rsid w:val="77A6318B"/>
    <w:rsid w:val="77D93560"/>
    <w:rsid w:val="7849267D"/>
    <w:rsid w:val="789700E3"/>
    <w:rsid w:val="789D67CA"/>
    <w:rsid w:val="78AF19AB"/>
    <w:rsid w:val="78D2134F"/>
    <w:rsid w:val="78F77091"/>
    <w:rsid w:val="78FD39C9"/>
    <w:rsid w:val="79427FFF"/>
    <w:rsid w:val="79551E8B"/>
    <w:rsid w:val="79766B8D"/>
    <w:rsid w:val="797C365C"/>
    <w:rsid w:val="799A58A3"/>
    <w:rsid w:val="79BC58A2"/>
    <w:rsid w:val="79D041E2"/>
    <w:rsid w:val="79E76C17"/>
    <w:rsid w:val="7A1E4C74"/>
    <w:rsid w:val="7A4230C8"/>
    <w:rsid w:val="7A516B6A"/>
    <w:rsid w:val="7A5A200A"/>
    <w:rsid w:val="7A5B757F"/>
    <w:rsid w:val="7A870659"/>
    <w:rsid w:val="7AA34743"/>
    <w:rsid w:val="7AAB75D1"/>
    <w:rsid w:val="7AB6732A"/>
    <w:rsid w:val="7AC65A35"/>
    <w:rsid w:val="7AC745FC"/>
    <w:rsid w:val="7B370653"/>
    <w:rsid w:val="7B5C3B71"/>
    <w:rsid w:val="7B6B31F7"/>
    <w:rsid w:val="7B711D02"/>
    <w:rsid w:val="7BA23609"/>
    <w:rsid w:val="7BA51760"/>
    <w:rsid w:val="7C224DAF"/>
    <w:rsid w:val="7CBA3AAE"/>
    <w:rsid w:val="7CF03837"/>
    <w:rsid w:val="7CF04E84"/>
    <w:rsid w:val="7D026537"/>
    <w:rsid w:val="7D084EB2"/>
    <w:rsid w:val="7D5B05C7"/>
    <w:rsid w:val="7D8620D4"/>
    <w:rsid w:val="7DC3015C"/>
    <w:rsid w:val="7DCC0473"/>
    <w:rsid w:val="7E1C41C4"/>
    <w:rsid w:val="7E1E6C49"/>
    <w:rsid w:val="7E8E272F"/>
    <w:rsid w:val="7ED60925"/>
    <w:rsid w:val="7F182693"/>
    <w:rsid w:val="7F424A7C"/>
    <w:rsid w:val="7FA51F7A"/>
    <w:rsid w:val="7FF07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annotation text"/>
    <w:basedOn w:val="1"/>
    <w:autoRedefine/>
    <w:semiHidden/>
    <w:qFormat/>
    <w:uiPriority w:val="0"/>
    <w:pPr>
      <w:jc w:val="left"/>
    </w:pPr>
  </w:style>
  <w:style w:type="paragraph" w:styleId="8">
    <w:name w:val="Body Text Indent"/>
    <w:basedOn w:val="1"/>
    <w:autoRedefine/>
    <w:qFormat/>
    <w:uiPriority w:val="99"/>
    <w:pPr>
      <w:ind w:firstLine="630"/>
    </w:pPr>
    <w:rPr>
      <w:sz w:val="32"/>
      <w:szCs w:val="32"/>
    </w:rPr>
  </w:style>
  <w:style w:type="paragraph" w:styleId="9">
    <w:name w:val="Block Text"/>
    <w:basedOn w:val="1"/>
    <w:qFormat/>
    <w:uiPriority w:val="0"/>
    <w:pPr>
      <w:spacing w:after="120" w:afterAutospacing="0"/>
      <w:ind w:left="1440" w:leftChars="700" w:rightChars="700"/>
    </w:p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szCs w:val="22"/>
    </w:rPr>
  </w:style>
  <w:style w:type="paragraph" w:styleId="12">
    <w:name w:val="Date"/>
    <w:basedOn w:val="1"/>
    <w:next w:val="1"/>
    <w:link w:val="38"/>
    <w:autoRedefine/>
    <w:qFormat/>
    <w:uiPriority w:val="0"/>
    <w:pPr>
      <w:ind w:left="100" w:leftChars="2500"/>
    </w:pPr>
  </w:style>
  <w:style w:type="paragraph" w:styleId="13">
    <w:name w:val="Body Text Indent 2"/>
    <w:basedOn w:val="1"/>
    <w:link w:val="39"/>
    <w:autoRedefine/>
    <w:qFormat/>
    <w:uiPriority w:val="0"/>
    <w:pPr>
      <w:spacing w:after="120" w:line="480" w:lineRule="auto"/>
      <w:ind w:left="420" w:leftChars="200"/>
    </w:pPr>
  </w:style>
  <w:style w:type="paragraph" w:styleId="14">
    <w:name w:val="Balloon Text"/>
    <w:basedOn w:val="1"/>
    <w:autoRedefine/>
    <w:semiHidden/>
    <w:qFormat/>
    <w:uiPriority w:val="0"/>
    <w:rPr>
      <w:sz w:val="18"/>
      <w:szCs w:val="18"/>
    </w:rPr>
  </w:style>
  <w:style w:type="paragraph" w:styleId="15">
    <w:name w:val="footer"/>
    <w:basedOn w:val="1"/>
    <w:link w:val="40"/>
    <w:autoRedefine/>
    <w:qFormat/>
    <w:uiPriority w:val="99"/>
    <w:pPr>
      <w:tabs>
        <w:tab w:val="center" w:pos="4153"/>
        <w:tab w:val="right" w:pos="8306"/>
      </w:tabs>
      <w:snapToGrid w:val="0"/>
      <w:jc w:val="left"/>
    </w:pPr>
    <w:rPr>
      <w:sz w:val="18"/>
      <w:szCs w:val="18"/>
    </w:rPr>
  </w:style>
  <w:style w:type="paragraph" w:styleId="16">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qFormat/>
    <w:uiPriority w:val="0"/>
  </w:style>
  <w:style w:type="paragraph" w:styleId="18">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9">
    <w:name w:val="toc 2"/>
    <w:basedOn w:val="1"/>
    <w:next w:val="1"/>
    <w:autoRedefine/>
    <w:qFormat/>
    <w:uiPriority w:val="0"/>
    <w:pPr>
      <w:ind w:left="420" w:leftChars="200"/>
    </w:pPr>
  </w:style>
  <w:style w:type="paragraph" w:styleId="2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next w:val="22"/>
    <w:autoRedefine/>
    <w:qFormat/>
    <w:uiPriority w:val="99"/>
    <w:pPr>
      <w:widowControl/>
      <w:spacing w:before="100" w:beforeAutospacing="1" w:after="100" w:afterAutospacing="1"/>
      <w:jc w:val="left"/>
    </w:pPr>
    <w:rPr>
      <w:rFonts w:ascii="宋体" w:hAnsi="宋体" w:cs="宋体"/>
      <w:kern w:val="0"/>
      <w:sz w:val="24"/>
    </w:rPr>
  </w:style>
  <w:style w:type="paragraph" w:customStyle="1" w:styleId="22">
    <w:name w:val="正文+首行缩进2字符"/>
    <w:basedOn w:val="1"/>
    <w:next w:val="1"/>
    <w:autoRedefine/>
    <w:qFormat/>
    <w:uiPriority w:val="0"/>
    <w:pPr>
      <w:widowControl w:val="0"/>
      <w:autoSpaceDE/>
      <w:autoSpaceDN/>
      <w:spacing w:before="280" w:after="280" w:line="300" w:lineRule="auto"/>
      <w:ind w:left="0" w:firstLine="5632"/>
      <w:jc w:val="both"/>
    </w:pPr>
  </w:style>
  <w:style w:type="paragraph" w:styleId="23">
    <w:name w:val="index 1"/>
    <w:basedOn w:val="1"/>
    <w:next w:val="1"/>
    <w:autoRedefine/>
    <w:qFormat/>
    <w:uiPriority w:val="0"/>
    <w:pPr>
      <w:widowControl w:val="0"/>
      <w:autoSpaceDE/>
      <w:autoSpaceDN/>
      <w:spacing w:before="0" w:after="0" w:line="240" w:lineRule="auto"/>
      <w:ind w:left="0" w:firstLine="5632"/>
      <w:jc w:val="both"/>
    </w:pPr>
  </w:style>
  <w:style w:type="paragraph" w:styleId="24">
    <w:name w:val="annotation subject"/>
    <w:basedOn w:val="7"/>
    <w:next w:val="7"/>
    <w:autoRedefine/>
    <w:semiHidden/>
    <w:qFormat/>
    <w:uiPriority w:val="0"/>
    <w:rPr>
      <w:b/>
      <w:bCs/>
    </w:rPr>
  </w:style>
  <w:style w:type="paragraph" w:styleId="25">
    <w:name w:val="Body Text First Indent"/>
    <w:basedOn w:val="2"/>
    <w:next w:val="26"/>
    <w:autoRedefine/>
    <w:unhideWhenUsed/>
    <w:qFormat/>
    <w:uiPriority w:val="99"/>
    <w:pPr>
      <w:ind w:firstLine="420" w:firstLineChars="100"/>
    </w:pPr>
  </w:style>
  <w:style w:type="paragraph" w:customStyle="1" w:styleId="26">
    <w:name w:val="段落正文"/>
    <w:basedOn w:val="1"/>
    <w:autoRedefine/>
    <w:qFormat/>
    <w:uiPriority w:val="0"/>
    <w:pPr>
      <w:spacing w:beforeLines="50" w:line="360" w:lineRule="auto"/>
      <w:ind w:firstLine="200" w:firstLineChars="200"/>
    </w:pPr>
    <w:rPr>
      <w:spacing w:val="2"/>
      <w:sz w:val="24"/>
      <w:szCs w:val="20"/>
    </w:rPr>
  </w:style>
  <w:style w:type="paragraph" w:styleId="27">
    <w:name w:val="Body Text First Indent 2"/>
    <w:basedOn w:val="8"/>
    <w:next w:val="1"/>
    <w:autoRedefine/>
    <w:qFormat/>
    <w:uiPriority w:val="0"/>
    <w:pPr>
      <w:ind w:firstLine="640" w:firstLineChars="200"/>
    </w:pPr>
    <w:rPr>
      <w:b/>
      <w:bCs/>
      <w:szCs w:val="24"/>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style>
  <w:style w:type="character" w:styleId="32">
    <w:name w:val="FollowedHyperlink"/>
    <w:autoRedefine/>
    <w:qFormat/>
    <w:uiPriority w:val="0"/>
    <w:rPr>
      <w:color w:val="954F72"/>
      <w:u w:val="single"/>
    </w:rPr>
  </w:style>
  <w:style w:type="character" w:styleId="33">
    <w:name w:val="Emphasis"/>
    <w:autoRedefine/>
    <w:qFormat/>
    <w:uiPriority w:val="0"/>
    <w:rPr>
      <w:i/>
    </w:rPr>
  </w:style>
  <w:style w:type="character" w:styleId="34">
    <w:name w:val="Hyperlink"/>
    <w:autoRedefine/>
    <w:qFormat/>
    <w:uiPriority w:val="0"/>
    <w:rPr>
      <w:color w:val="262626"/>
      <w:sz w:val="18"/>
      <w:szCs w:val="18"/>
      <w:u w:val="none"/>
    </w:rPr>
  </w:style>
  <w:style w:type="character" w:styleId="35">
    <w:name w:val="annotation reference"/>
    <w:autoRedefine/>
    <w:semiHidden/>
    <w:qFormat/>
    <w:uiPriority w:val="0"/>
    <w:rPr>
      <w:sz w:val="21"/>
      <w:szCs w:val="21"/>
    </w:rPr>
  </w:style>
  <w:style w:type="paragraph" w:customStyle="1" w:styleId="36">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标题 1 Char"/>
    <w:link w:val="3"/>
    <w:autoRedefine/>
    <w:qFormat/>
    <w:uiPriority w:val="0"/>
    <w:rPr>
      <w:b/>
      <w:bCs/>
      <w:kern w:val="44"/>
      <w:sz w:val="44"/>
      <w:szCs w:val="44"/>
    </w:rPr>
  </w:style>
  <w:style w:type="character" w:customStyle="1" w:styleId="38">
    <w:name w:val="日期 Char"/>
    <w:link w:val="12"/>
    <w:autoRedefine/>
    <w:qFormat/>
    <w:uiPriority w:val="0"/>
    <w:rPr>
      <w:kern w:val="2"/>
      <w:sz w:val="21"/>
      <w:szCs w:val="24"/>
    </w:rPr>
  </w:style>
  <w:style w:type="character" w:customStyle="1" w:styleId="39">
    <w:name w:val="正文文本缩进 2 Char"/>
    <w:link w:val="13"/>
    <w:autoRedefine/>
    <w:qFormat/>
    <w:uiPriority w:val="0"/>
    <w:rPr>
      <w:kern w:val="2"/>
      <w:sz w:val="21"/>
      <w:szCs w:val="24"/>
    </w:rPr>
  </w:style>
  <w:style w:type="character" w:customStyle="1" w:styleId="40">
    <w:name w:val="页脚 Char"/>
    <w:link w:val="15"/>
    <w:autoRedefine/>
    <w:qFormat/>
    <w:uiPriority w:val="99"/>
    <w:rPr>
      <w:kern w:val="2"/>
      <w:sz w:val="18"/>
      <w:szCs w:val="18"/>
    </w:rPr>
  </w:style>
  <w:style w:type="character" w:customStyle="1" w:styleId="41">
    <w:name w:val="页眉 Char"/>
    <w:link w:val="16"/>
    <w:autoRedefine/>
    <w:qFormat/>
    <w:uiPriority w:val="0"/>
    <w:rPr>
      <w:kern w:val="2"/>
      <w:sz w:val="18"/>
      <w:szCs w:val="18"/>
    </w:rPr>
  </w:style>
  <w:style w:type="character" w:customStyle="1" w:styleId="42">
    <w:name w:val="NormalCharacter"/>
    <w:autoRedefine/>
    <w:semiHidden/>
    <w:qFormat/>
    <w:uiPriority w:val="0"/>
    <w:rPr>
      <w:kern w:val="2"/>
      <w:sz w:val="21"/>
      <w:szCs w:val="24"/>
      <w:lang w:val="en-US" w:eastAsia="zh-CN" w:bidi="ar-SA"/>
    </w:rPr>
  </w:style>
  <w:style w:type="character" w:customStyle="1" w:styleId="43">
    <w:name w:val="font31"/>
    <w:autoRedefine/>
    <w:qFormat/>
    <w:uiPriority w:val="0"/>
    <w:rPr>
      <w:rFonts w:ascii="宋体" w:hAnsi="宋体" w:eastAsia="宋体" w:cs="宋体"/>
      <w:color w:val="000000"/>
      <w:sz w:val="24"/>
      <w:szCs w:val="24"/>
      <w:u w:val="none"/>
    </w:rPr>
  </w:style>
  <w:style w:type="character" w:customStyle="1" w:styleId="44">
    <w:name w:val="item-name1"/>
    <w:autoRedefine/>
    <w:qFormat/>
    <w:uiPriority w:val="0"/>
  </w:style>
  <w:style w:type="character" w:customStyle="1" w:styleId="45">
    <w:name w:val="列出段落 Char"/>
    <w:link w:val="46"/>
    <w:autoRedefine/>
    <w:qFormat/>
    <w:uiPriority w:val="34"/>
    <w:rPr>
      <w:kern w:val="2"/>
      <w:sz w:val="18"/>
      <w:szCs w:val="18"/>
    </w:rPr>
  </w:style>
  <w:style w:type="paragraph" w:customStyle="1" w:styleId="46">
    <w:name w:val="List Paragraph"/>
    <w:basedOn w:val="1"/>
    <w:link w:val="45"/>
    <w:autoRedefine/>
    <w:qFormat/>
    <w:uiPriority w:val="34"/>
    <w:pPr>
      <w:ind w:firstLine="420" w:firstLineChars="200"/>
    </w:pPr>
    <w:rPr>
      <w:sz w:val="18"/>
      <w:szCs w:val="18"/>
    </w:rPr>
  </w:style>
  <w:style w:type="character" w:customStyle="1" w:styleId="47">
    <w:name w:val="item-name"/>
    <w:autoRedefine/>
    <w:qFormat/>
    <w:uiPriority w:val="0"/>
  </w:style>
  <w:style w:type="character" w:customStyle="1" w:styleId="48">
    <w:name w:val="font11"/>
    <w:autoRedefine/>
    <w:qFormat/>
    <w:uiPriority w:val="0"/>
    <w:rPr>
      <w:rFonts w:hint="eastAsia" w:ascii="宋体" w:hAnsi="宋体" w:eastAsia="宋体" w:cs="宋体"/>
      <w:color w:val="000000"/>
      <w:sz w:val="20"/>
      <w:szCs w:val="20"/>
      <w:u w:val="none"/>
    </w:rPr>
  </w:style>
  <w:style w:type="character" w:customStyle="1" w:styleId="49">
    <w:name w:val="font01"/>
    <w:autoRedefine/>
    <w:qFormat/>
    <w:uiPriority w:val="0"/>
    <w:rPr>
      <w:rFonts w:hint="eastAsia" w:ascii="宋体" w:hAnsi="宋体" w:eastAsia="宋体" w:cs="宋体"/>
      <w:color w:val="000000"/>
      <w:sz w:val="22"/>
      <w:szCs w:val="22"/>
      <w:u w:val="none"/>
    </w:rPr>
  </w:style>
  <w:style w:type="character" w:customStyle="1" w:styleId="50">
    <w:name w:val="font41"/>
    <w:autoRedefine/>
    <w:qFormat/>
    <w:uiPriority w:val="0"/>
    <w:rPr>
      <w:rFonts w:hint="eastAsia" w:ascii="宋体" w:hAnsi="宋体" w:eastAsia="宋体" w:cs="宋体"/>
      <w:color w:val="000000"/>
      <w:sz w:val="20"/>
      <w:szCs w:val="20"/>
      <w:u w:val="none"/>
    </w:rPr>
  </w:style>
  <w:style w:type="character" w:customStyle="1" w:styleId="51">
    <w:name w:val="font21"/>
    <w:autoRedefine/>
    <w:qFormat/>
    <w:uiPriority w:val="0"/>
    <w:rPr>
      <w:rFonts w:hint="eastAsia" w:ascii="宋体" w:hAnsi="宋体" w:eastAsia="宋体" w:cs="宋体"/>
      <w:b/>
      <w:color w:val="000000"/>
      <w:sz w:val="22"/>
      <w:szCs w:val="22"/>
      <w:u w:val="none"/>
    </w:rPr>
  </w:style>
  <w:style w:type="paragraph" w:customStyle="1" w:styleId="52">
    <w:name w:val="样式 首行缩进:  2 字符"/>
    <w:basedOn w:val="1"/>
    <w:autoRedefine/>
    <w:qFormat/>
    <w:uiPriority w:val="0"/>
    <w:pPr>
      <w:spacing w:line="400" w:lineRule="exact"/>
      <w:ind w:firstLine="200" w:firstLineChars="200"/>
    </w:pPr>
    <w:rPr>
      <w:rFonts w:cs="宋体"/>
      <w:sz w:val="24"/>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正文首行缩进两字符"/>
    <w:basedOn w:val="1"/>
    <w:autoRedefine/>
    <w:qFormat/>
    <w:uiPriority w:val="0"/>
    <w:pPr>
      <w:spacing w:line="360" w:lineRule="auto"/>
      <w:ind w:firstLine="200" w:firstLineChars="200"/>
    </w:pPr>
  </w:style>
  <w:style w:type="paragraph" w:customStyle="1" w:styleId="55">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56">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57">
    <w:name w:val="列出段落1"/>
    <w:basedOn w:val="1"/>
    <w:autoRedefine/>
    <w:qFormat/>
    <w:uiPriority w:val="34"/>
    <w:pPr>
      <w:ind w:firstLine="420" w:firstLineChars="200"/>
    </w:pPr>
    <w:rPr>
      <w:sz w:val="18"/>
      <w:szCs w:val="18"/>
    </w:r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0">
    <w:name w:val="_Style 3"/>
    <w:basedOn w:val="1"/>
    <w:autoRedefine/>
    <w:qFormat/>
    <w:uiPriority w:val="34"/>
    <w:pPr>
      <w:ind w:firstLine="420" w:firstLineChars="200"/>
    </w:pPr>
  </w:style>
  <w:style w:type="paragraph" w:customStyle="1" w:styleId="61">
    <w:name w:val="表格"/>
    <w:basedOn w:val="1"/>
    <w:autoRedefine/>
    <w:qFormat/>
    <w:uiPriority w:val="0"/>
    <w:pPr>
      <w:spacing w:line="400" w:lineRule="exact"/>
    </w:pPr>
    <w:rPr>
      <w:rFonts w:ascii="宋体"/>
      <w:kern w:val="0"/>
      <w:sz w:val="24"/>
      <w:szCs w:val="20"/>
    </w:rPr>
  </w:style>
  <w:style w:type="paragraph" w:customStyle="1" w:styleId="62">
    <w:name w:val="BodyText"/>
    <w:basedOn w:val="1"/>
    <w:next w:val="63"/>
    <w:autoRedefine/>
    <w:qFormat/>
    <w:uiPriority w:val="0"/>
    <w:pPr>
      <w:tabs>
        <w:tab w:val="left" w:pos="780"/>
      </w:tabs>
      <w:textAlignment w:val="baseline"/>
    </w:pPr>
    <w:rPr>
      <w:rFonts w:ascii="黑体" w:eastAsia="黑体"/>
      <w:sz w:val="22"/>
    </w:rPr>
  </w:style>
  <w:style w:type="paragraph" w:customStyle="1" w:styleId="63">
    <w:name w:val="180"/>
    <w:next w:val="1"/>
    <w:autoRedefine/>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4">
    <w:name w:val="BodyText1I"/>
    <w:basedOn w:val="62"/>
    <w:autoRedefine/>
    <w:qFormat/>
    <w:uiPriority w:val="0"/>
    <w:pPr>
      <w:numPr>
        <w:ilvl w:val="0"/>
        <w:numId w:val="1"/>
      </w:numPr>
      <w:ind w:left="0" w:firstLine="420" w:firstLineChars="100"/>
    </w:pPr>
  </w:style>
  <w:style w:type="character" w:customStyle="1" w:styleId="65">
    <w:name w:val="font61"/>
    <w:autoRedefine/>
    <w:qFormat/>
    <w:uiPriority w:val="0"/>
    <w:rPr>
      <w:rFonts w:ascii="MingLiU-ExtB" w:hAnsi="MingLiU-ExtB" w:eastAsia="MingLiU-ExtB" w:cs="MingLiU-ExtB"/>
      <w:color w:val="FF0000"/>
      <w:sz w:val="24"/>
      <w:szCs w:val="24"/>
      <w:u w:val="none"/>
    </w:rPr>
  </w:style>
  <w:style w:type="character" w:customStyle="1" w:styleId="66">
    <w:name w:val="font71"/>
    <w:autoRedefine/>
    <w:qFormat/>
    <w:uiPriority w:val="0"/>
    <w:rPr>
      <w:rFonts w:hint="eastAsia" w:ascii="MingLiU-ExtB" w:hAnsi="MingLiU-ExtB" w:eastAsia="MingLiU-ExtB" w:cs="MingLiU-ExtB"/>
      <w:color w:val="FF0000"/>
      <w:sz w:val="24"/>
      <w:szCs w:val="24"/>
      <w:u w:val="none"/>
    </w:rPr>
  </w:style>
  <w:style w:type="paragraph" w:customStyle="1" w:styleId="67">
    <w:name w:val="Table Paragraph"/>
    <w:basedOn w:val="1"/>
    <w:autoRedefine/>
    <w:qFormat/>
    <w:uiPriority w:val="1"/>
    <w:rPr>
      <w:rFonts w:ascii="宋体" w:hAnsi="宋体" w:cs="宋体"/>
      <w:lang w:val="zh-CN" w:bidi="zh-CN"/>
    </w:rPr>
  </w:style>
  <w:style w:type="paragraph" w:customStyle="1" w:styleId="68">
    <w:name w:val="条款正文"/>
    <w:basedOn w:val="1"/>
    <w:autoRedefine/>
    <w:qFormat/>
    <w:uiPriority w:val="0"/>
    <w:pPr>
      <w:adjustRightInd w:val="0"/>
      <w:snapToGrid w:val="0"/>
      <w:ind w:left="400" w:leftChars="4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32</Pages>
  <Words>12312</Words>
  <Characters>12832</Characters>
  <Lines>112</Lines>
  <Paragraphs>31</Paragraphs>
  <TotalTime>8</TotalTime>
  <ScaleCrop>false</ScaleCrop>
  <LinksUpToDate>false</LinksUpToDate>
  <CharactersWithSpaces>14655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杨爱飞</cp:lastModifiedBy>
  <cp:lastPrinted>2023-12-27T10:15:00Z</cp:lastPrinted>
  <dcterms:modified xsi:type="dcterms:W3CDTF">2024-01-08T14:08:15Z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F86C7DD9AB584542AC1E647086EF4E29_13</vt:lpwstr>
  </property>
</Properties>
</file>