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/>
          <w:b/>
          <w:sz w:val="24"/>
          <w:szCs w:val="22"/>
        </w:rPr>
        <w:t>（一）项目清单及技术参数要求</w:t>
      </w:r>
    </w:p>
    <w:tbl>
      <w:tblPr>
        <w:tblStyle w:val="7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954"/>
        <w:gridCol w:w="884"/>
        <w:gridCol w:w="600"/>
        <w:gridCol w:w="4782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标的名称</w:t>
            </w:r>
          </w:p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（产品名称）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技术参数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产品所属行业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冷库机组外机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名义功率：</w:t>
            </w:r>
            <w:r>
              <w:rPr>
                <w:rFonts w:hint="eastAsia" w:hAnsi="宋体" w:cs="宋体"/>
                <w:color w:val="auto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4.68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P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排气量m3/h：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8.6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启动电流</w:t>
            </w:r>
            <w:r>
              <w:rPr>
                <w:rFonts w:ascii="Arial" w:hAnsi="Arial" w:cs="Arial"/>
                <w:color w:val="222222"/>
                <w:sz w:val="25"/>
                <w:szCs w:val="25"/>
                <w:shd w:val="clear" w:color="auto" w:fill="FFFFFF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额定负载电流a：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5.7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排气管接管尺寸：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19*1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吸气管接管尺寸：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10*1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外形尺寸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（长*宽*高）：</w:t>
            </w:r>
            <w:r>
              <w:rPr>
                <w:rFonts w:hint="eastAsia" w:hAnsi="宋体" w:cs="宋体"/>
                <w:sz w:val="24"/>
                <w:szCs w:val="24"/>
              </w:rPr>
              <w:t>≤1</w:t>
            </w:r>
            <w:r>
              <w:rPr>
                <w:rFonts w:hAnsi="宋体" w:cs="宋体"/>
                <w:sz w:val="24"/>
                <w:szCs w:val="24"/>
              </w:rPr>
              <w:t>056*470*795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底脚安装尺寸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626*430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油充注量：PFJ/PFV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(L)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1.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TFD/TF5/TF7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(L)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净重kg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冷库机组内机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冷凝温度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:≤</w:t>
            </w: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℃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蒸发温度：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-10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℃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蒸发温度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≤-5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℃</w:t>
            </w:r>
          </w:p>
          <w:p>
            <w:pPr>
              <w:pStyle w:val="4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蒸发温度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≤-12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℃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冷库平移门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扇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尺寸：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2000mm*800mm；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厚度：</w:t>
            </w:r>
            <w:r>
              <w:rPr>
                <w:rFonts w:hint="eastAsia" w:hAnsi="宋体" w:cs="宋体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100mm；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聚氨酯双面彩钢板，夹芯聚氨酯发泡保温材料。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聚氨酯双层夹心保温板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superscript"/>
                <w:lang w:bidi="ar"/>
              </w:rPr>
              <w:t>2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厚度：</w:t>
            </w:r>
            <w:r>
              <w:rPr>
                <w:rFonts w:hint="eastAsia" w:hAnsi="宋体" w:cs="宋体"/>
                <w:color w:val="auto"/>
                <w:sz w:val="24"/>
                <w:szCs w:val="24"/>
              </w:rPr>
              <w:t>≥1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00mm。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铜管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m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*1.0</w:t>
            </w:r>
          </w:p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10*1.0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制冷剂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瓶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R22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</w:t>
            </w:r>
          </w:p>
        </w:tc>
      </w:tr>
    </w:tbl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pStyle w:val="2"/>
      </w:pPr>
    </w:p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综合评分明细表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07"/>
        <w:gridCol w:w="841"/>
        <w:gridCol w:w="397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评分因素及权重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分值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评分标准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报价30%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（共同评分因素）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30分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以本次有效最低磋商报价为基准价，磋商报价得分=(磋商基准价/最后磋商报价)*30分*100%。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技术指标和配置33%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（技术评分因素）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33分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完全满足磋商文件第五章：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供应商所响应产品“技术参数要求”完全满足磋商文件相应“技术参数 要求”的得 28 分；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共22项，每符合一项得1.5分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技术参数要求有具体要求提供证明材料的，需提供要求的证明材料予以佐证，未提供或不满足不得分。技术参数要求没有具体要求要求提供证明材料的，需在响应文件中进行响应，不响应或不满足视为负偏离。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项目方案28%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（技术评分因素）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28分</w:t>
            </w:r>
          </w:p>
        </w:tc>
        <w:tc>
          <w:tcPr>
            <w:tcW w:w="3973" w:type="dxa"/>
            <w:vAlign w:val="center"/>
          </w:tcPr>
          <w:p>
            <w:pPr>
              <w:numPr>
                <w:ilvl w:val="0"/>
                <w:numId w:val="2"/>
              </w:num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供应商针对本项目提供的实施方案应当包含以下内容：①安装实施方案；②质量保障措施方案；③安全文明施工措施方案；④应急预案。完全包含得13分，未提供或提供不全不得分；前述4项内容:每一项内容中每存在一处缺陷扣1.25分;本项扣完为止。</w:t>
            </w:r>
          </w:p>
          <w:p>
            <w:pPr>
              <w:numPr>
                <w:ilvl w:val="0"/>
                <w:numId w:val="2"/>
              </w:num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供应商针对本项目提供的售后服务方案当包含以下内容：①售后服务承诺、②售后服务响应时间、③售后人员配置（含售后服务人员名单、职责分工、联系方式）、④售后培训计划、⑤备品备件维修与更换方案。完全包含得15分，未提供或提供不全不得分；前述5项内容:每一项内容中每存在一处缺陷扣1.5分;本项扣完为止。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每存在一处缺陷是指方案内容与项目实际情况不符、采用的技术手段不符合规范要求、内容不够细化、内容自相矛盾、内容违背法律法规要求、内容套用其他项目、凭空编造、逻辑漏洞、科学原理错误、常识性错误以及不可能实现的夸大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人员配置9%</w:t>
            </w:r>
          </w:p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（技术评分因素）</w:t>
            </w:r>
          </w:p>
        </w:tc>
        <w:tc>
          <w:tcPr>
            <w:tcW w:w="841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9分</w:t>
            </w:r>
          </w:p>
        </w:tc>
        <w:tc>
          <w:tcPr>
            <w:tcW w:w="3973" w:type="dxa"/>
            <w:vAlign w:val="center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1、供应商拟投入本项目的高处作业人员：每有1人具有高处作业证得1分，本项最多3分。</w:t>
            </w:r>
          </w:p>
          <w:p>
            <w:pPr>
              <w:spacing w:before="156" w:beforeLines="50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2、供应商拟投入本项目的电工作业人员：每有1人具有电工作业证得1分，本项最多3分。</w:t>
            </w:r>
          </w:p>
          <w:p>
            <w:pPr>
              <w:pStyle w:val="2"/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3、供应商拟投入本项目的焊接与热切割作业人员：每有1人具有电工作业证得1分，本项最多3分。</w:t>
            </w:r>
          </w:p>
        </w:tc>
        <w:tc>
          <w:tcPr>
            <w:tcW w:w="2493" w:type="dxa"/>
            <w:vAlign w:val="center"/>
          </w:tcPr>
          <w:p>
            <w:pPr>
              <w:spacing w:before="156" w:beforeLines="50"/>
              <w:jc w:val="center"/>
              <w:rPr>
                <w:rFonts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kern w:val="2"/>
                <w:sz w:val="24"/>
                <w:szCs w:val="24"/>
              </w:rPr>
              <w:t>提供人员的相关证书复印件予以佐证，未提供或不满足不得分。</w:t>
            </w:r>
          </w:p>
        </w:tc>
      </w:tr>
    </w:tbl>
    <w:p>
      <w:pPr>
        <w:spacing w:line="360" w:lineRule="auto"/>
        <w:ind w:firstLine="472" w:firstLineChars="196"/>
        <w:rPr>
          <w:rFonts w:ascii="仿宋_GB2312" w:hAnsi="仿宋_GB2312" w:eastAsia="仿宋_GB2312" w:cs="仿宋_GB2312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143E"/>
    <w:multiLevelType w:val="singleLevel"/>
    <w:tmpl w:val="C12914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1EF3E4"/>
    <w:multiLevelType w:val="multilevel"/>
    <w:tmpl w:val="FA1EF3E4"/>
    <w:lvl w:ilvl="0" w:tentative="0">
      <w:start w:val="1"/>
      <w:numFmt w:val="decimal"/>
      <w:suff w:val="nothing"/>
      <w:lvlText w:val="%1、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OGViNDM4Y2RmZTM3YmU4MWNiYjEzMWM1NTNmYjkifQ=="/>
  </w:docVars>
  <w:rsids>
    <w:rsidRoot w:val="202F1386"/>
    <w:rsid w:val="00432FFC"/>
    <w:rsid w:val="007B7146"/>
    <w:rsid w:val="00A70CDD"/>
    <w:rsid w:val="00ED7F1B"/>
    <w:rsid w:val="01534D94"/>
    <w:rsid w:val="03AB29F2"/>
    <w:rsid w:val="096E5786"/>
    <w:rsid w:val="09B930B9"/>
    <w:rsid w:val="0AC41118"/>
    <w:rsid w:val="0FD079FE"/>
    <w:rsid w:val="10331CA1"/>
    <w:rsid w:val="202F1386"/>
    <w:rsid w:val="21D71593"/>
    <w:rsid w:val="308220A2"/>
    <w:rsid w:val="32967D17"/>
    <w:rsid w:val="456A0211"/>
    <w:rsid w:val="45BE11A3"/>
    <w:rsid w:val="4B465A18"/>
    <w:rsid w:val="4BA17322"/>
    <w:rsid w:val="4E6D2CB8"/>
    <w:rsid w:val="514B566F"/>
    <w:rsid w:val="5CAA4D62"/>
    <w:rsid w:val="5EC60009"/>
    <w:rsid w:val="61FC3953"/>
    <w:rsid w:val="62037172"/>
    <w:rsid w:val="63762650"/>
    <w:rsid w:val="638B6FDE"/>
    <w:rsid w:val="72BC18A0"/>
    <w:rsid w:val="73E907B7"/>
    <w:rsid w:val="756C77EC"/>
    <w:rsid w:val="77136751"/>
    <w:rsid w:val="7AC34C78"/>
    <w:rsid w:val="7FD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eastAsia="黑体" w:asciiTheme="minorHAnsi" w:hAnsiTheme="minorHAnsi"/>
      <w:b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2"/>
    <w:next w:val="6"/>
    <w:unhideWhenUsed/>
    <w:qFormat/>
    <w:uiPriority w:val="99"/>
    <w:pPr>
      <w:ind w:firstLine="420" w:firstLineChars="100"/>
    </w:pPr>
  </w:style>
  <w:style w:type="paragraph" w:customStyle="1" w:styleId="6">
    <w:name w:val="段落正文"/>
    <w:basedOn w:val="1"/>
    <w:unhideWhenUsed/>
    <w:qFormat/>
    <w:uiPriority w:val="0"/>
    <w:pPr>
      <w:spacing w:beforeLines="50" w:line="360" w:lineRule="auto"/>
      <w:ind w:firstLine="200" w:firstLineChars="200"/>
    </w:pPr>
    <w:rPr>
      <w:rFonts w:hint="eastAsia"/>
      <w:spacing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332</Words>
  <Characters>1894</Characters>
  <Lines>15</Lines>
  <Paragraphs>4</Paragraphs>
  <TotalTime>29</TotalTime>
  <ScaleCrop>false</ScaleCrop>
  <LinksUpToDate>false</LinksUpToDate>
  <CharactersWithSpaces>2222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2023-10-24T06:32:00Z</dcterms:created>
  <dc:creator>郭明超</dc:creator>
  <cp:lastModifiedBy>Administrator</cp:lastModifiedBy>
  <dcterms:modified xsi:type="dcterms:W3CDTF">2023-11-21T00:50:17Z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E1A4BD6219484F1F9274E85DFEF1D860</vt:lpwstr>
  </property>
</Properties>
</file>