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高压灭菌小蒸锅</w:t>
      </w:r>
      <w:r>
        <w:rPr>
          <w:rFonts w:hint="eastAsia" w:ascii="宋体" w:hAnsi="宋体" w:eastAsia="宋体"/>
          <w:b/>
          <w:bCs/>
          <w:sz w:val="32"/>
          <w:szCs w:val="32"/>
        </w:rPr>
        <w:t>招标参数</w:t>
      </w:r>
    </w:p>
    <w:bookmarkEnd w:id="0"/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1、灭菌内室容积≥45升。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*2、设计压力：-0.1/0.3MPa，设计温度：≥144℃。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*3、腔壁加热：覆膜式加热膜。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4、门密封方式：自胀式门胶圈，采用透明医用硅橡胶模压而成。</w:t>
      </w:r>
    </w:p>
    <w:p>
      <w:pPr>
        <w:numPr>
          <w:ilvl w:val="0"/>
          <w:numId w:val="0"/>
        </w:numPr>
        <w:spacing w:line="360" w:lineRule="exact"/>
        <w:ind w:leftChars="0"/>
        <w:rPr>
          <w:rFonts w:hint="default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*5、蒸汽产生方式：内置即时蒸发器，无需外接蒸汽源；采用</w:t>
      </w:r>
      <w:r>
        <w:rPr>
          <w:rFonts w:hint="eastAsia" w:hAnsi="宋体" w:cs="宋体"/>
          <w:szCs w:val="24"/>
          <w:lang w:val="en-US" w:eastAsia="zh-CN"/>
        </w:rPr>
        <w:t>双螺旋式蒸汽发生器供气系统</w:t>
      </w: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。</w:t>
      </w:r>
      <w:r>
        <w:rPr>
          <w:rStyle w:val="6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 w:bidi="ar"/>
        </w:rPr>
        <w:t>（</w:t>
      </w:r>
      <w:r>
        <w:rPr>
          <w:rFonts w:hint="eastAsia" w:hAnsi="宋体" w:cs="宋体"/>
          <w:szCs w:val="24"/>
        </w:rPr>
        <w:t>提供相关国家行政机关或具有第三方认证资格的机构出具</w:t>
      </w:r>
      <w:r>
        <w:rPr>
          <w:rFonts w:hint="eastAsia" w:hAnsi="宋体" w:cs="宋体"/>
          <w:szCs w:val="24"/>
          <w:lang w:val="en-US" w:eastAsia="zh-CN"/>
        </w:rPr>
        <w:t>的证书</w:t>
      </w:r>
      <w:r>
        <w:rPr>
          <w:rFonts w:hint="eastAsia" w:hAnsi="宋体" w:cs="宋体"/>
          <w:szCs w:val="24"/>
        </w:rPr>
        <w:t>复印件</w:t>
      </w:r>
      <w:r>
        <w:rPr>
          <w:rFonts w:hint="eastAsia" w:hAnsi="宋体" w:cs="宋体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6、采用高效的抽真空系统，工作噪音低，极限真空可达-90KPa以上，抽空速度快，物品干燥度好，灭菌更彻底。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7、内置单水箱，不外排蒸汽可实现汽水内循环，同时一次加水可运行多次程序，水箱容积≥6L，配置水质监测模块，保证蒸汽质量的可靠性。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8、液晶屏可显示温度、压力、时间、运行状态、故障报警等信息，灭菌信息更加直观，便于用户观察设备运行状态。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9、设有裸露程序、包装程序、橡胶程序、自定义程序、液体程序、N类快速、B类快速、嗜血程序、BD&amp;Helix、真空测试、预热程序、干燥程序。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10、记录方式：自动打印数据。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11、注水、脉动真空、升温、灭菌、排汽、真空干燥全过程自动运行。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12、0.22μm除菌高效空气过滤器，保证破除真空的空气为无菌空气，避免无菌物品再次污</w:t>
      </w: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染。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13、灭菌器采用自动门结构，电机驱动，一键式侧开门，操作快捷方便，有效对人体进行可靠的保护，防止烫伤。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14、具有灭菌器密封门自动锁紧联动机构。</w:t>
      </w:r>
    </w:p>
    <w:p>
      <w:pPr>
        <w:numPr>
          <w:ilvl w:val="0"/>
          <w:numId w:val="0"/>
        </w:numPr>
        <w:spacing w:line="360" w:lineRule="exact"/>
        <w:rPr>
          <w:rFonts w:hint="eastAsia" w:hAnsi="宋体" w:cs="宋体"/>
          <w:szCs w:val="24"/>
          <w:lang w:val="en-US" w:eastAsia="zh-CN"/>
        </w:rPr>
      </w:pPr>
      <w:r>
        <w:rPr>
          <w:rFonts w:hint="eastAsia" w:hAnsi="宋体" w:cs="宋体"/>
          <w:szCs w:val="24"/>
          <w:lang w:val="en-US" w:eastAsia="zh-CN"/>
        </w:rPr>
        <w:t>15、外形尺寸：≥850×640×550mm。</w:t>
      </w:r>
    </w:p>
    <w:p>
      <w:pPr>
        <w:numPr>
          <w:ilvl w:val="0"/>
          <w:numId w:val="0"/>
        </w:numPr>
        <w:spacing w:line="360" w:lineRule="exact"/>
        <w:rPr>
          <w:rFonts w:hint="default" w:hAnsi="宋体" w:cs="宋体"/>
          <w:szCs w:val="24"/>
          <w:lang w:val="en-US" w:eastAsia="zh-CN"/>
        </w:rPr>
      </w:pPr>
      <w:r>
        <w:rPr>
          <w:rFonts w:hint="eastAsia" w:hAnsi="宋体" w:cs="宋体"/>
          <w:szCs w:val="24"/>
          <w:lang w:val="en-US" w:eastAsia="zh-CN"/>
        </w:rPr>
        <w:t>16、功率：≥5.8kVA。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*17、生产企业质量控制：通过ISO9001和ISO13485质量体系认证，须提供证件。</w:t>
      </w:r>
    </w:p>
    <w:p/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评分标准</w:t>
      </w:r>
    </w:p>
    <w:tbl>
      <w:tblPr>
        <w:tblStyle w:val="3"/>
        <w:tblpPr w:leftFromText="180" w:rightFromText="180" w:vertAnchor="page" w:horzAnchor="page" w:tblpX="1005" w:tblpY="3210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758"/>
        <w:gridCol w:w="53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评分因素及权重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采用低价优先法计算，即满足招标文件要求且最后报价最低的供应商的价格为磋商基准价，其价格分为满分。其他供应商的价格分统一按照下列公式计算：招标报价得分=（招标基准价/最后招标报价）X价格权值X100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技术参数及商务要求</w:t>
            </w:r>
            <w:r>
              <w:rPr>
                <w:rFonts w:hint="eastAsia" w:ascii="宋体" w:hAnsi="宋体" w:cs="宋体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产品完全满足</w:t>
            </w:r>
            <w:r>
              <w:rPr>
                <w:rFonts w:hint="eastAsia" w:ascii="Times New Roman" w:hAnsi="Times New Roman" w:eastAsia="宋体" w:cs="Times New Roman"/>
              </w:rPr>
              <w:t>磋商</w:t>
            </w:r>
            <w:r>
              <w:rPr>
                <w:rFonts w:ascii="Times New Roman" w:hAnsi="Times New Roman" w:eastAsia="宋体" w:cs="Times New Roman"/>
              </w:rPr>
              <w:t>文件</w:t>
            </w:r>
            <w:r>
              <w:rPr>
                <w:rFonts w:hint="eastAsia" w:ascii="Times New Roman" w:hAnsi="Times New Roman" w:eastAsia="宋体" w:cs="Times New Roman"/>
              </w:rPr>
              <w:t>技术参数及</w:t>
            </w:r>
            <w:r>
              <w:rPr>
                <w:rFonts w:ascii="Times New Roman" w:hAnsi="Times New Roman" w:eastAsia="宋体" w:cs="Times New Roman"/>
              </w:rPr>
              <w:t>要求的得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42</w:t>
            </w:r>
            <w:r>
              <w:rPr>
                <w:rFonts w:ascii="Times New Roman" w:hAnsi="Times New Roman" w:eastAsia="宋体" w:cs="Times New Roman"/>
              </w:rPr>
              <w:t>分；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带“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</w:rPr>
              <w:t>有一项不满足招标文件要求的扣</w:t>
            </w: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</w:rPr>
              <w:t>分，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其他参数有一项不满足的扣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分，扣完为止。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</w:rPr>
              <w:t>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</w:t>
            </w:r>
            <w:r>
              <w:rPr>
                <w:rFonts w:hint="eastAsia" w:cs="Times New Roman"/>
                <w:lang w:val="en-US" w:eastAsia="zh-CN"/>
              </w:rPr>
              <w:t>提供售后服务方案、培训方案、维修方案、应急方案的得8分，方案详细的每项加2分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不提供不得分（技术评分因素）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业务能力4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投标供货商有类似业绩的，每提供一项得2分（可提供合同复印件、发票复印件、中标通知书复印件其中一项），最多得4分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以响应文件为准（共同评分因素）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WJlYzM2MzRmYmM1NmIwNDdjNzJjNmU0NzA2MWYifQ=="/>
  </w:docVars>
  <w:rsids>
    <w:rsidRoot w:val="6F4A7862"/>
    <w:rsid w:val="0A867256"/>
    <w:rsid w:val="35A73E3F"/>
    <w:rsid w:val="6F4A7862"/>
    <w:rsid w:val="70556B4B"/>
    <w:rsid w:val="77506ED1"/>
    <w:rsid w:val="7B9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9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2023-04-06T02:02:00Z</dcterms:created>
  <dc:creator>Administrator</dc:creator>
  <cp:lastModifiedBy>陈春旭</cp:lastModifiedBy>
  <dcterms:modified xsi:type="dcterms:W3CDTF">2023-10-19T01:37:00Z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5733D5D2B7D846DAA4EAC37014428515</vt:lpwstr>
  </property>
</Properties>
</file>