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检验科</w:t>
      </w:r>
      <w:r>
        <w:rPr>
          <w:rFonts w:hint="eastAsia" w:ascii="宋体" w:hAnsi="宋体" w:eastAsia="宋体"/>
          <w:b/>
          <w:bCs/>
          <w:sz w:val="32"/>
          <w:szCs w:val="32"/>
        </w:rPr>
        <w:t>微量元素分析仪招标参数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序号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1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*方法学：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原子吸收光谱法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2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*光源：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两个及以上复合元素灯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3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数据处理：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无需另配电脑显示器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ascii="宋体" w:hAnsi="宋体" w:eastAsia="宋体"/>
                <w:sz w:val="20"/>
                <w:szCs w:val="21"/>
              </w:rPr>
              <w:t>4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可提供与仪器配套使用的全套试剂（包括检测试剂、校准品、质控品），并取得医疗器械注册认证（二类）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ascii="宋体" w:hAnsi="宋体" w:eastAsia="宋体"/>
                <w:sz w:val="20"/>
                <w:szCs w:val="21"/>
              </w:rPr>
              <w:t>5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*安全措施：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乙炔流量控制、火焰监测功能、乙炔防回火器、电磁阀断电和空气压力不足自动切断装置、燃烧器防爆装置）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6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1"/>
              </w:rPr>
              <w:t>*多种样本检测能力：</w:t>
            </w:r>
            <w:r>
              <w:rPr>
                <w:rFonts w:ascii="宋体" w:hAnsi="宋体" w:eastAsia="宋体"/>
                <w:sz w:val="20"/>
                <w:szCs w:val="21"/>
              </w:rPr>
              <w:t>能满足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多种</w:t>
            </w:r>
            <w:r>
              <w:rPr>
                <w:rFonts w:ascii="宋体" w:hAnsi="宋体" w:eastAsia="宋体"/>
                <w:sz w:val="20"/>
                <w:szCs w:val="21"/>
              </w:rPr>
              <w:t>样本检测需求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（包括</w:t>
            </w:r>
            <w:r>
              <w:rPr>
                <w:rFonts w:ascii="宋体" w:hAnsi="宋体" w:eastAsia="宋体"/>
                <w:sz w:val="20"/>
                <w:szCs w:val="21"/>
              </w:rPr>
              <w:t>全血、血清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、乳汁、尿液）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7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pacing w:val="-8"/>
                <w:sz w:val="20"/>
                <w:szCs w:val="21"/>
              </w:rPr>
              <w:t>有国家二级标准物质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ascii="宋体" w:hAnsi="宋体" w:eastAsia="宋体"/>
                <w:sz w:val="20"/>
                <w:szCs w:val="21"/>
              </w:rPr>
              <w:t>8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*点火方式：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自动点火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9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*雾化器：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高效金属雾化器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1</w:t>
            </w:r>
            <w:r>
              <w:rPr>
                <w:rFonts w:ascii="宋体" w:hAnsi="宋体" w:eastAsia="宋体"/>
                <w:sz w:val="20"/>
                <w:szCs w:val="21"/>
              </w:rPr>
              <w:t>0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通道数：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五通道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1</w:t>
            </w:r>
            <w:r>
              <w:rPr>
                <w:rFonts w:ascii="宋体" w:hAnsi="宋体" w:eastAsia="宋体"/>
                <w:sz w:val="20"/>
                <w:szCs w:val="21"/>
              </w:rPr>
              <w:t>1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检测元素种类：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一次进样</w:t>
            </w:r>
            <w:r>
              <w:rPr>
                <w:rFonts w:ascii="宋体" w:hAnsi="宋体" w:eastAsia="宋体"/>
                <w:sz w:val="20"/>
                <w:szCs w:val="21"/>
              </w:rPr>
              <w:t>,可以同时测试铜、锌、钙、镁、铁五种元素含量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ascii="宋体" w:hAnsi="宋体" w:eastAsia="宋体"/>
                <w:sz w:val="20"/>
                <w:szCs w:val="21"/>
              </w:rPr>
              <w:t>12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检测样本用量：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全血40微升、血清3</w:t>
            </w:r>
            <w:r>
              <w:rPr>
                <w:rFonts w:ascii="宋体" w:hAnsi="宋体" w:eastAsia="宋体"/>
                <w:sz w:val="20"/>
                <w:szCs w:val="21"/>
              </w:rPr>
              <w:t>00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微升、乳汁1</w:t>
            </w:r>
            <w:r>
              <w:rPr>
                <w:rFonts w:ascii="宋体" w:hAnsi="宋体" w:eastAsia="宋体"/>
                <w:sz w:val="20"/>
                <w:szCs w:val="21"/>
              </w:rPr>
              <w:t>50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微升，尿液1</w:t>
            </w:r>
            <w:r>
              <w:rPr>
                <w:rFonts w:ascii="宋体" w:hAnsi="宋体" w:eastAsia="宋体"/>
                <w:sz w:val="20"/>
                <w:szCs w:val="21"/>
              </w:rPr>
              <w:t>50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微升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1</w:t>
            </w:r>
            <w:r>
              <w:rPr>
                <w:rFonts w:ascii="宋体" w:hAnsi="宋体" w:eastAsia="宋体"/>
                <w:sz w:val="20"/>
                <w:szCs w:val="21"/>
              </w:rPr>
              <w:t>3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检测时间：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小于5s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1</w:t>
            </w:r>
            <w:r>
              <w:rPr>
                <w:rFonts w:ascii="宋体" w:hAnsi="宋体" w:eastAsia="宋体"/>
                <w:sz w:val="20"/>
                <w:szCs w:val="21"/>
              </w:rPr>
              <w:t>4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*精密度：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对铜、锌、钙、镁、铁的不精密度不大于1.0%（Abs&gt;0.1）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1</w:t>
            </w:r>
            <w:r>
              <w:rPr>
                <w:rFonts w:ascii="宋体" w:hAnsi="宋体" w:eastAsia="宋体"/>
                <w:sz w:val="20"/>
                <w:szCs w:val="21"/>
              </w:rPr>
              <w:t>5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光学单色器：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全息光栅单色器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1</w:t>
            </w:r>
            <w:r>
              <w:rPr>
                <w:rFonts w:ascii="宋体" w:hAnsi="宋体" w:eastAsia="宋体"/>
                <w:sz w:val="20"/>
                <w:szCs w:val="21"/>
              </w:rPr>
              <w:t>6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原子化器：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预混合型100mm单缝全钛燃烧器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1</w:t>
            </w:r>
            <w:r>
              <w:rPr>
                <w:rFonts w:ascii="宋体" w:hAnsi="宋体" w:eastAsia="宋体"/>
                <w:sz w:val="20"/>
                <w:szCs w:val="21"/>
              </w:rPr>
              <w:t>7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波长范围：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190 -650nm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1</w:t>
            </w:r>
            <w:r>
              <w:rPr>
                <w:rFonts w:ascii="宋体" w:hAnsi="宋体" w:eastAsia="宋体"/>
                <w:sz w:val="20"/>
                <w:szCs w:val="21"/>
              </w:rPr>
              <w:t>8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光谱带宽：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0.15-2.0nm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1</w:t>
            </w:r>
            <w:r>
              <w:rPr>
                <w:rFonts w:ascii="宋体" w:hAnsi="宋体" w:eastAsia="宋体"/>
                <w:sz w:val="20"/>
                <w:szCs w:val="21"/>
              </w:rPr>
              <w:t>9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吸光度：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0 -2 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2</w:t>
            </w:r>
            <w:r>
              <w:rPr>
                <w:rFonts w:ascii="宋体" w:hAnsi="宋体" w:eastAsia="宋体"/>
                <w:sz w:val="20"/>
                <w:szCs w:val="21"/>
              </w:rPr>
              <w:t>0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*基线稳定性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：每30min内各线基线稳定性不应超过0.005Abs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2</w:t>
            </w:r>
            <w:r>
              <w:rPr>
                <w:rFonts w:ascii="宋体" w:hAnsi="宋体" w:eastAsia="宋体"/>
                <w:sz w:val="20"/>
                <w:szCs w:val="21"/>
              </w:rPr>
              <w:t>1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检出限：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铜的检出限≤0.02</w:t>
            </w:r>
            <w:r>
              <w:rPr>
                <w:rFonts w:hint="eastAsia" w:ascii="宋体" w:hAnsi="宋体" w:eastAsia="宋体"/>
                <w:sz w:val="20"/>
                <w:szCs w:val="21"/>
                <w:lang w:val="el-GR"/>
              </w:rPr>
              <w:t>μ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2</w:t>
            </w:r>
            <w:r>
              <w:rPr>
                <w:rFonts w:ascii="宋体" w:hAnsi="宋体" w:eastAsia="宋体"/>
                <w:sz w:val="20"/>
                <w:szCs w:val="21"/>
              </w:rPr>
              <w:t>2</w:t>
            </w:r>
          </w:p>
        </w:tc>
        <w:tc>
          <w:tcPr>
            <w:tcW w:w="666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测量结果：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自动计算、整理、存储并打印，可连接外部LIS软件或网络</w:t>
            </w:r>
          </w:p>
        </w:tc>
      </w:tr>
    </w:tbl>
    <w:p/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评分标准</w:t>
      </w:r>
    </w:p>
    <w:tbl>
      <w:tblPr>
        <w:tblStyle w:val="3"/>
        <w:tblpPr w:leftFromText="180" w:rightFromText="180" w:vertAnchor="page" w:horzAnchor="page" w:tblpX="1005" w:tblpY="3210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</w:t>
            </w:r>
            <w:r>
              <w:rPr>
                <w:rFonts w:hint="eastAsia" w:ascii="宋体" w:hAnsi="宋体" w:cs="宋体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42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带“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其他参数有一项不满足的扣</w:t>
            </w:r>
            <w:r>
              <w:rPr>
                <w:rFonts w:hint="eastAsia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分</w:t>
            </w:r>
            <w:r>
              <w:rPr>
                <w:rFonts w:ascii="Times New Roman" w:hAnsi="Times New Roman" w:eastAsia="宋体" w:cs="Times New Roman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</w:rPr>
              <w:t>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</w:t>
            </w:r>
            <w:r>
              <w:rPr>
                <w:rFonts w:hint="eastAsia" w:cs="Times New Roman"/>
                <w:lang w:val="en-US" w:eastAsia="zh-CN"/>
              </w:rPr>
              <w:t>提供售后服务方案、培训方案、维修方案、应急方案的得8分，方案详细的每项加2分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业务能力4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投标供货商有类似业绩的，每提供一项得2分（可提供合同复印件、发票复印件、中标通知书复印件其中一项），最多得4分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GRiZGFjODA4ZWEwYmJjNDM4NDE2NDU1NDMxMjYifQ=="/>
  </w:docVars>
  <w:rsids>
    <w:rsidRoot w:val="6F4A7862"/>
    <w:rsid w:val="35A73E3F"/>
    <w:rsid w:val="6F4A7862"/>
    <w:rsid w:val="70556B4B"/>
    <w:rsid w:val="72EB6BF5"/>
    <w:rsid w:val="7750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2023-04-06T02:02:00Z</dcterms:created>
  <dc:creator>Administrator</dc:creator>
  <cp:lastModifiedBy>陈春旭</cp:lastModifiedBy>
  <dcterms:modified xsi:type="dcterms:W3CDTF">2023-05-17T01:15:28Z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3DE94BB495234678984543408F2BE925</vt:lpwstr>
  </property>
</Properties>
</file>