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附件：服务明细及限价</w:t>
      </w:r>
    </w:p>
    <w:tbl>
      <w:tblPr>
        <w:tblStyle w:val="5"/>
        <w:tblpPr w:leftFromText="180" w:rightFromText="180" w:vertAnchor="text" w:horzAnchor="page" w:tblpX="1942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98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检查类型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最高限价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1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上岗前职业健康检查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医学史.职业史调查;内科.皮肤科常规检查;眼科检查(色觉.视力.晶体裂隙灯检查.玻璃体.眼底);血常规和白细胞分类;甲功五项,尿常规;肝功能;肾功能检查;外周血淋巴细胞染色体畸变分析;胸部X线检查;心电图;腹部彩超；甲状腺彩超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510元</w:t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在岗期间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职业健康检查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医学史.职业史调查;内科.外科.皮肤科常规检查;眼科检查(色觉.视力.晶体裂隙灯检查.玻璃体.眼底);血常规和白细胞分类;甲功五项,尿常规;肝功能;肾功能检查;外周血淋巴细胞微核试验;胸部X线检查;心电图;腹部彩超；甲状腺彩超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  <w:t>离岗前职业健康检查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医学史.职业史调查;内科.皮肤科常规检查;眼科检查(色觉.视力.晶体裂隙灯检查.玻璃体.眼底);血常规和白细胞分类;甲功五项,尿常规;肝功能;肾功能检查;外周血淋巴细胞染色体畸变分析;胸部X线检查;心电图;腹部彩超；甲状腺彩超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510元</w:t>
            </w: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应急/事故照射职业健康检查</w:t>
            </w:r>
          </w:p>
        </w:tc>
        <w:tc>
          <w:tcPr>
            <w:tcW w:w="5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应急/事故照射史.医学史.职业史调查;详细的内科.外科.眼科.皮肤科.神经科检查;血常规和白细胞分类(连续取样); 甲功五项,尿常规;肝功能;肾功能检查;尿常规;外周血淋巴细胞染色体畸变分析;外周血淋巴细胞微核试验;胸部X线摄影(在留取细胞遗传学检查所需血样后);心电图; 腹部彩超；甲状腺彩超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元/人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ZkZGM5ZjM1YWQzMmUyMDI4N2E4YTZhYWI0MGEifQ=="/>
  </w:docVars>
  <w:rsids>
    <w:rsidRoot w:val="00000000"/>
    <w:rsid w:val="354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styleId="3">
    <w:name w:val="Body Text First Indent"/>
    <w:basedOn w:val="2"/>
    <w:uiPriority w:val="0"/>
    <w:pPr>
      <w:ind w:firstLine="420" w:firstLineChars="100"/>
    </w:p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2022-06-28T09:20:48Z</dcterms:created>
  <dc:creator>Administrator</dc:creator>
  <cp:lastModifiedBy>以梦为马</cp:lastModifiedBy>
  <dcterms:modified xsi:type="dcterms:W3CDTF">2022-06-28T09:21:10Z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B34C514951C74C428379F05EEB82F33D</vt:lpwstr>
  </property>
</Properties>
</file>