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321" w:firstLineChars="300"/>
        <w:rPr>
          <w:rFonts w:hint="eastAsia"/>
        </w:rPr>
      </w:pPr>
      <w:r>
        <w:rPr>
          <w:rFonts w:hint="eastAsia"/>
          <w:lang w:val="en-US" w:eastAsia="zh-CN"/>
        </w:rPr>
        <w:t>半导体</w:t>
      </w:r>
      <w:r>
        <w:rPr>
          <w:rFonts w:hint="eastAsia"/>
          <w:lang w:eastAsia="zh-CN"/>
        </w:rPr>
        <w:t>激光治疗仪技术</w:t>
      </w:r>
      <w:r>
        <w:rPr>
          <w:rFonts w:hint="eastAsia"/>
        </w:rPr>
        <w:t>参数</w:t>
      </w:r>
      <w:bookmarkStart w:id="0" w:name="_Hlk59450470"/>
    </w:p>
    <w:bookmarkEnd w:id="0"/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设备组成：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  <w:lang w:val="en-US" w:eastAsia="zh-CN"/>
        </w:rPr>
        <w:t>需包含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主机、脚踏开关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等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/>
          <w:bCs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设备用途：适用于人体组织的汽化、碳化、凝固和照射。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  <w:lang w:eastAsia="zh-CN"/>
        </w:rPr>
        <w:t>以达到治疗血管瘤，肉芽肿上呼吸道咽喉壁淋巴滤泡增生的目的。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default" w:ascii="Times New Roman" w:hAnsi="Times New Roman" w:eastAsia="宋体"/>
          <w:bCs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激光中心波长：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9</w:t>
      </w:r>
      <w:r>
        <w:rPr>
          <w:rFonts w:ascii="Times New Roman" w:hAnsi="Times New Roman" w:eastAsia="宋体"/>
          <w:color w:val="000000"/>
          <w:sz w:val="24"/>
          <w:szCs w:val="24"/>
        </w:rPr>
        <w:t>80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nm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/>
          <w:bCs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bCs/>
          <w:color w:val="000000"/>
          <w:sz w:val="24"/>
          <w:szCs w:val="24"/>
        </w:rPr>
        <w:t>额定终端输出激光功率：</w:t>
      </w:r>
      <w:r>
        <w:rPr>
          <w:rFonts w:hint="eastAsia" w:ascii="Times New Roman" w:hAnsi="Times New Roman"/>
          <w:bCs/>
          <w:color w:val="000000"/>
          <w:sz w:val="24"/>
          <w:szCs w:val="24"/>
          <w:lang w:eastAsia="zh-CN"/>
        </w:rPr>
        <w:t>≥</w:t>
      </w: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Cs/>
          <w:color w:val="00000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/>
          <w:bCs/>
          <w:color w:val="000000"/>
          <w:sz w:val="24"/>
          <w:szCs w:val="24"/>
          <w:lang w:val="en-US" w:eastAsia="zh-CN"/>
        </w:rPr>
        <w:t>W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eastAsia="宋体"/>
          <w:color w:val="000000"/>
          <w:sz w:val="24"/>
          <w:szCs w:val="24"/>
        </w:rPr>
      </w:pPr>
      <w:r>
        <w:rPr>
          <w:rFonts w:hint="default" w:ascii="Times New Roman" w:hAnsi="Times New Roman" w:eastAsia="宋体"/>
          <w:color w:val="000000"/>
          <w:sz w:val="24"/>
          <w:szCs w:val="24"/>
          <w:lang w:val="en-US" w:eastAsia="zh-CN"/>
        </w:rPr>
        <w:t>*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医用激光光纤环氧乙烷消毒。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default" w:ascii="Times New Roman" w:hAnsi="Times New Roman" w:eastAsia="宋体"/>
          <w:color w:val="000000"/>
          <w:sz w:val="24"/>
          <w:szCs w:val="24"/>
          <w:lang w:val="en-US"/>
        </w:rPr>
        <w:t>*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指示光：</w:t>
      </w:r>
      <w:r>
        <w:rPr>
          <w:rFonts w:ascii="Times New Roman" w:hAnsi="Times New Roman" w:eastAsia="宋体"/>
          <w:color w:val="000000"/>
          <w:sz w:val="24"/>
          <w:szCs w:val="24"/>
        </w:rPr>
        <w:t>6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00nm~700n</w:t>
      </w:r>
      <w:r>
        <w:rPr>
          <w:rFonts w:ascii="Times New Roman" w:hAnsi="Times New Roman" w:eastAsia="宋体"/>
          <w:color w:val="000000"/>
          <w:sz w:val="24"/>
          <w:szCs w:val="24"/>
        </w:rPr>
        <w:t>m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终端激光输出功率不稳定度：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≺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±1</w:t>
      </w:r>
      <w:r>
        <w:rPr>
          <w:rFonts w:ascii="Times New Roman" w:hAnsi="Times New Roman" w:eastAsia="宋体"/>
          <w:color w:val="000000"/>
          <w:sz w:val="24"/>
          <w:szCs w:val="24"/>
        </w:rPr>
        <w:t>0%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hint="eastAsia" w:ascii="Times New Roman" w:hAnsi="Times New Roman" w:eastAsia="宋体"/>
          <w:bCs/>
          <w:sz w:val="24"/>
          <w:szCs w:val="24"/>
        </w:rPr>
        <w:t>工作模式：连续、重复脉冲、单脉冲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脉冲宽度：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500-999</w:t>
      </w:r>
      <w:r>
        <w:rPr>
          <w:rFonts w:hint="cs" w:ascii="Times New Roman" w:hAnsi="Times New Roman" w:eastAsia="宋体"/>
          <w:sz w:val="24"/>
          <w:szCs w:val="24"/>
          <w:cs/>
        </w:rPr>
        <w:t xml:space="preserve"> m</w:t>
      </w:r>
      <w:r>
        <w:rPr>
          <w:rFonts w:ascii="Times New Roman" w:hAnsi="Times New Roman" w:eastAsia="宋体"/>
          <w:sz w:val="24"/>
          <w:szCs w:val="24"/>
        </w:rPr>
        <w:t>s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脉冲间隔：</w:t>
      </w:r>
      <w:r>
        <w:rPr>
          <w:rFonts w:hint="eastAsia" w:ascii="Times New Roman" w:hAnsi="Times New Roman" w:eastAsia="宋体" w:cs="宋体"/>
          <w:sz w:val="24"/>
          <w:szCs w:val="24"/>
        </w:rPr>
        <w:t>2倍脉宽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冷却系统：包括半导体冷却及风扇散热系统，为激光稳定输出提供基础。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激光电源：监测激光器温度，当电流输入波动超过预设范围</w:t>
      </w:r>
      <w:r>
        <w:rPr>
          <w:rFonts w:hint="eastAsia" w:ascii="Times New Roman" w:hAnsi="Times New Roman" w:eastAsia="宋体"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激光器温度过高时可自动切断激光输出。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控制系统：P</w:t>
      </w:r>
      <w:r>
        <w:rPr>
          <w:rFonts w:ascii="Times New Roman" w:hAnsi="Times New Roman" w:eastAsia="宋体"/>
          <w:sz w:val="24"/>
          <w:szCs w:val="24"/>
        </w:rPr>
        <w:t>LC</w:t>
      </w:r>
      <w:r>
        <w:rPr>
          <w:rFonts w:hint="eastAsia" w:ascii="Times New Roman" w:hAnsi="Times New Roman" w:eastAsia="宋体"/>
          <w:sz w:val="24"/>
          <w:szCs w:val="24"/>
        </w:rPr>
        <w:t>控制模块控制电源、监控各安全防护系统工作；P</w:t>
      </w:r>
      <w:r>
        <w:rPr>
          <w:rFonts w:ascii="Times New Roman" w:hAnsi="Times New Roman" w:eastAsia="宋体"/>
          <w:sz w:val="24"/>
          <w:szCs w:val="24"/>
        </w:rPr>
        <w:t>LC</w:t>
      </w:r>
      <w:r>
        <w:rPr>
          <w:rFonts w:hint="eastAsia" w:ascii="Times New Roman" w:hAnsi="Times New Roman" w:eastAsia="宋体"/>
          <w:sz w:val="24"/>
          <w:szCs w:val="24"/>
        </w:rPr>
        <w:t>控制相比单片机类的微机控制，性能更稳定可靠。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 w:cs="等线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显示操作系统</w:t>
      </w:r>
    </w:p>
    <w:p>
      <w:pPr>
        <w:spacing w:line="276" w:lineRule="auto"/>
        <w:ind w:left="9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.1触屏操作，设备操作简单且有自动记忆功能，操作者通过触摸屏设置激光功率及激光工作方式即可完成参数设置。</w:t>
      </w:r>
    </w:p>
    <w:p>
      <w:pPr>
        <w:spacing w:line="276" w:lineRule="auto"/>
        <w:ind w:left="9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.2参数保存：可保存4种治疗参数或调用已保存参数</w:t>
      </w:r>
    </w:p>
    <w:p>
      <w:pPr>
        <w:spacing w:line="276" w:lineRule="auto"/>
        <w:ind w:left="9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.3</w:t>
      </w:r>
      <w:r>
        <w:rPr>
          <w:rFonts w:ascii="Times New Roman" w:hAnsi="Times New Roman" w:eastAsia="宋体"/>
          <w:color w:val="000000"/>
          <w:sz w:val="24"/>
          <w:szCs w:val="24"/>
        </w:rPr>
        <w:t>报警提示：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非正常连接时提供报警及解决方案，</w:t>
      </w:r>
      <w:r>
        <w:rPr>
          <w:rFonts w:ascii="Times New Roman" w:hAnsi="Times New Roman" w:eastAsia="宋体"/>
          <w:color w:val="000000"/>
          <w:sz w:val="24"/>
          <w:szCs w:val="24"/>
        </w:rPr>
        <w:t>并以文字和图标方式报警提示，便于判断故障和维修。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安全防护系统：多重安全防护系统设计，保障用户使用安全。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音量钮：激光输出提示音音量调节旋钮</w:t>
      </w:r>
    </w:p>
    <w:p>
      <w:pPr>
        <w:widowControl/>
        <w:spacing w:line="276" w:lineRule="auto"/>
        <w:ind w:left="480"/>
        <w:jc w:val="left"/>
        <w:rPr>
          <w:rFonts w:hint="eastAsia" w:ascii="Times New Roman" w:hAnsi="Times New Roman" w:eastAsia="宋体"/>
          <w:sz w:val="24"/>
          <w:szCs w:val="24"/>
        </w:rPr>
      </w:pPr>
    </w:p>
    <w:p>
      <w:pPr>
        <w:jc w:val="left"/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评分标准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page" w:horzAnchor="page" w:tblpX="1005" w:tblpY="3210"/>
        <w:tblOverlap w:val="never"/>
        <w:tblW w:w="10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33"/>
        <w:gridCol w:w="1300"/>
        <w:gridCol w:w="758"/>
        <w:gridCol w:w="532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05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评分因素及权重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分值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评分标准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经济类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统一采用低价优先法计算，即满足招标文件要求且最后报价最低的供应商的价格为磋商基准价，其价格分为满分。其他供应商的价格分统一按照下列公式计算：招标报价得分=（招标基准价/最后招标报价）X价格权值X100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技术参数及商务要求4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供应商报价</w:t>
            </w:r>
            <w:r>
              <w:rPr>
                <w:rFonts w:ascii="Times New Roman" w:hAnsi="Times New Roman" w:eastAsia="宋体" w:cs="Times New Roman"/>
              </w:rPr>
              <w:t>产品完全满足</w:t>
            </w:r>
            <w:r>
              <w:rPr>
                <w:rFonts w:hint="eastAsia" w:ascii="Times New Roman" w:hAnsi="Times New Roman" w:eastAsia="宋体" w:cs="Times New Roman"/>
              </w:rPr>
              <w:t>磋商</w:t>
            </w:r>
            <w:r>
              <w:rPr>
                <w:rFonts w:ascii="Times New Roman" w:hAnsi="Times New Roman" w:eastAsia="宋体" w:cs="Times New Roman"/>
              </w:rPr>
              <w:t>文件</w:t>
            </w:r>
            <w:r>
              <w:rPr>
                <w:rFonts w:hint="eastAsia" w:ascii="Times New Roman" w:hAnsi="Times New Roman" w:eastAsia="宋体" w:cs="Times New Roman"/>
              </w:rPr>
              <w:t>技术参数及</w:t>
            </w:r>
            <w:r>
              <w:rPr>
                <w:rFonts w:ascii="Times New Roman" w:hAnsi="Times New Roman" w:eastAsia="宋体" w:cs="Times New Roman"/>
              </w:rPr>
              <w:t>要求的得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</w:rPr>
              <w:t>分；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带“*”</w:t>
            </w:r>
            <w:r>
              <w:rPr>
                <w:rFonts w:hint="eastAsia" w:ascii="Times New Roman" w:hAnsi="Times New Roman" w:eastAsia="宋体" w:cs="Times New Roman"/>
              </w:rPr>
              <w:t>有一项不满足招标文件要求的扣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</w:rPr>
              <w:t>分，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最多扣20分，常规参数有一项不满足扣2分，最多扣26分</w:t>
            </w:r>
            <w:r>
              <w:rPr>
                <w:rFonts w:ascii="Times New Roman" w:hAnsi="Times New Roman" w:eastAsia="宋体" w:cs="Times New Roman"/>
              </w:rPr>
              <w:t>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以响应文件为准（技术评分因素）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tabs>
                <w:tab w:val="left" w:pos="0"/>
                <w:tab w:val="left" w:pos="600"/>
              </w:tabs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根据供应商提供的售后服务方案进行评分，售后服务方案包括但不限于：售后服务体系、售后服务技术人员配置、售后服务响应时间、用户培训方案等方面。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方案包含上述内容的得基础分10分，缺一项扣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分，扣完为止；售后服务体系完整详细、售后服务技术人员配置科学合理、售后服务响应时间优于项目要求、用户培训方案清晰具体的，则每有一项加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分，最多加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分。本项最多得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ind w:firstLine="2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不提供不得分（技术评分因素）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52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响应文件的规范性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%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pacing w:line="0" w:lineRule="atLeast"/>
              <w:ind w:firstLine="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响应文件制作规范，没有细微偏差情形的得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分；有一项细微偏差扣2分，直至该项分值扣完为止。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以响应文件为准（共同评分因素）</w:t>
            </w: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900" w:hanging="420"/>
      </w:pPr>
      <w:rPr>
        <w:rFonts w:hint="eastAsia"/>
        <w:sz w:val="24"/>
        <w:szCs w:val="24"/>
      </w:rPr>
    </w:lvl>
    <w:lvl w:ilvl="1" w:tentative="0">
      <w:start w:val="1"/>
      <w:numFmt w:val="lowerLetter"/>
      <w:lvlRestart w:val="0"/>
      <w:lvlText w:val="%2)"/>
      <w:lvlJc w:val="left"/>
      <w:pPr>
        <w:ind w:left="132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74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16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58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00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42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84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JlYzM2MzRmYmM1NmIwNDdjNzJjNmU0NzA2MWYifQ=="/>
  </w:docVars>
  <w:rsids>
    <w:rsidRoot w:val="00000000"/>
    <w:rsid w:val="033B657F"/>
    <w:rsid w:val="04F627C5"/>
    <w:rsid w:val="066B1C3A"/>
    <w:rsid w:val="06E86A9D"/>
    <w:rsid w:val="0D791B1B"/>
    <w:rsid w:val="17586E9F"/>
    <w:rsid w:val="29CC598E"/>
    <w:rsid w:val="2F635CDD"/>
    <w:rsid w:val="30456889"/>
    <w:rsid w:val="36870AE5"/>
    <w:rsid w:val="3AF543BF"/>
    <w:rsid w:val="429E7C65"/>
    <w:rsid w:val="440C4C8F"/>
    <w:rsid w:val="50453A6E"/>
    <w:rsid w:val="58B215AB"/>
    <w:rsid w:val="5ABA7B4A"/>
    <w:rsid w:val="5E906FDD"/>
    <w:rsid w:val="71882E13"/>
    <w:rsid w:val="78CE04C4"/>
    <w:rsid w:val="796C1BA2"/>
    <w:rsid w:val="7A8F71CE"/>
    <w:rsid w:val="7F501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1033</Characters>
  <Lines>0</Lines>
  <Paragraphs>0</Paragraphs>
  <TotalTime>1</TotalTime>
  <ScaleCrop>false</ScaleCrop>
  <LinksUpToDate>false</LinksUpToDate>
  <CharactersWithSpaces>1035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2020-08-06T02:09:00Z</cp:lastPrinted>
  <dcterms:modified xsi:type="dcterms:W3CDTF">2022-06-09T07:52:35Z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7A2E2A1C9B2A4854BFB0507D055B26DC</vt:lpwstr>
  </property>
</Properties>
</file>