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="等线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半导体</w:t>
      </w:r>
      <w:r>
        <w:rPr>
          <w:rFonts w:hint="eastAsia"/>
          <w:lang w:eastAsia="zh-CN"/>
        </w:rPr>
        <w:t>激光治疗仪技术</w:t>
      </w:r>
      <w:r>
        <w:rPr>
          <w:rFonts w:hint="eastAsia"/>
        </w:rPr>
        <w:t>参数</w:t>
      </w:r>
      <w:bookmarkStart w:id="0" w:name="_Hlk59450470"/>
      <w:r>
        <w:rPr>
          <w:rFonts w:hint="eastAsia"/>
          <w:lang w:val="en-US" w:eastAsia="zh-CN"/>
        </w:rPr>
        <w:t>及评分标准</w:t>
      </w:r>
      <w:bookmarkEnd w:id="0"/>
    </w:p>
    <w:bookmarkEnd w:id="1"/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设备组成：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  <w:lang w:val="en-US" w:eastAsia="zh-CN"/>
        </w:rPr>
        <w:t>需包含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主机、脚踏开关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/>
          <w:bCs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设备用途：适用于人体组织的汽化、碳化、凝固和照射。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  <w:lang w:eastAsia="zh-CN"/>
        </w:rPr>
        <w:t>以达到治疗血管瘤，肉芽肿上呼吸道咽喉壁淋巴滤泡增生的目的。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bCs/>
          <w:color w:val="00000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/>
          <w:bCs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激光中心波长：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9</w:t>
      </w:r>
      <w:r>
        <w:rPr>
          <w:rFonts w:ascii="Times New Roman" w:hAnsi="Times New Roman" w:eastAsia="宋体"/>
          <w:color w:val="000000"/>
          <w:sz w:val="24"/>
          <w:szCs w:val="24"/>
        </w:rPr>
        <w:t>80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nm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bCs/>
          <w:color w:val="00000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/>
          <w:bCs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额定终端输出激光功率：</w:t>
      </w:r>
      <w:r>
        <w:rPr>
          <w:rFonts w:hint="eastAsia" w:ascii="Times New Roman" w:hAnsi="Times New Roman"/>
          <w:bCs/>
          <w:color w:val="000000"/>
          <w:sz w:val="24"/>
          <w:szCs w:val="24"/>
          <w:lang w:eastAsia="zh-CN"/>
        </w:rPr>
        <w:t>≥</w:t>
      </w:r>
      <w:r>
        <w:rPr>
          <w:rFonts w:hint="default" w:ascii="Times New Roman" w:hAnsi="Times New Roman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bCs/>
          <w:color w:val="00000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/>
          <w:bCs/>
          <w:color w:val="000000"/>
          <w:sz w:val="24"/>
          <w:szCs w:val="24"/>
          <w:lang w:val="en-US" w:eastAsia="zh-CN"/>
        </w:rPr>
        <w:t>W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hint="eastAsia"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宋体"/>
          <w:color w:val="000000"/>
          <w:sz w:val="24"/>
          <w:szCs w:val="24"/>
          <w:lang w:val="en-US" w:eastAsia="zh-CN"/>
        </w:rPr>
        <w:t>*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医用激光光纤环氧乙烷消毒。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eastAsia="宋体"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指示光：</w:t>
      </w:r>
      <w:r>
        <w:rPr>
          <w:rFonts w:ascii="Times New Roman" w:hAnsi="Times New Roman" w:eastAsia="宋体"/>
          <w:color w:val="000000"/>
          <w:sz w:val="24"/>
          <w:szCs w:val="24"/>
        </w:rPr>
        <w:t>6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00nm~700n</w:t>
      </w:r>
      <w:r>
        <w:rPr>
          <w:rFonts w:ascii="Times New Roman" w:hAnsi="Times New Roman" w:eastAsia="宋体"/>
          <w:color w:val="000000"/>
          <w:sz w:val="24"/>
          <w:szCs w:val="24"/>
        </w:rPr>
        <w:t>m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终端激光输出功率不稳定度：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≺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±1</w:t>
      </w:r>
      <w:r>
        <w:rPr>
          <w:rFonts w:ascii="Times New Roman" w:hAnsi="Times New Roman" w:eastAsia="宋体"/>
          <w:color w:val="000000"/>
          <w:sz w:val="24"/>
          <w:szCs w:val="24"/>
        </w:rPr>
        <w:t>0%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eastAsia="宋体"/>
          <w:bCs/>
          <w:sz w:val="24"/>
          <w:szCs w:val="24"/>
        </w:rPr>
        <w:t>工作模式：连续、重复脉冲、单脉冲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eastAsia="宋体"/>
          <w:sz w:val="24"/>
          <w:szCs w:val="24"/>
        </w:rPr>
        <w:t>脉冲宽度：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500-999</w:t>
      </w:r>
      <w:r>
        <w:rPr>
          <w:rFonts w:hint="cs" w:ascii="Times New Roman" w:hAnsi="Times New Roman" w:eastAsia="宋体"/>
          <w:sz w:val="24"/>
          <w:szCs w:val="24"/>
          <w:cs/>
        </w:rPr>
        <w:t xml:space="preserve"> m</w:t>
      </w:r>
      <w:r>
        <w:rPr>
          <w:rFonts w:ascii="Times New Roman" w:hAnsi="Times New Roman" w:eastAsia="宋体"/>
          <w:sz w:val="24"/>
          <w:szCs w:val="24"/>
        </w:rPr>
        <w:t>s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eastAsia="宋体"/>
          <w:sz w:val="24"/>
          <w:szCs w:val="24"/>
        </w:rPr>
        <w:t>脉冲间隔：</w:t>
      </w:r>
      <w:r>
        <w:rPr>
          <w:rFonts w:hint="eastAsia" w:ascii="Times New Roman" w:hAnsi="Times New Roman" w:eastAsia="宋体" w:cs="宋体"/>
          <w:sz w:val="24"/>
          <w:szCs w:val="24"/>
        </w:rPr>
        <w:t>2倍脉宽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eastAsia="宋体"/>
          <w:sz w:val="24"/>
          <w:szCs w:val="24"/>
        </w:rPr>
        <w:t>冷却系统：包括半导体冷却及风扇散热系统，为激光稳定输出提供基础。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12.</w:t>
      </w:r>
      <w:r>
        <w:rPr>
          <w:rFonts w:hint="eastAsia" w:ascii="Times New Roman" w:hAnsi="Times New Roman" w:eastAsia="宋体"/>
          <w:sz w:val="24"/>
          <w:szCs w:val="24"/>
        </w:rPr>
        <w:t>激光电源：监测激光器温度，当电流输入波动超过预设范围</w:t>
      </w:r>
      <w:r>
        <w:rPr>
          <w:rFonts w:hint="eastAsia" w:ascii="Times New Roman" w:hAnsi="Times New Roman" w:eastAsia="宋体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激光器温度过高时可自动切断激光输出。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13.</w:t>
      </w:r>
      <w:r>
        <w:rPr>
          <w:rFonts w:hint="eastAsia" w:ascii="Times New Roman" w:hAnsi="Times New Roman" w:eastAsia="宋体"/>
          <w:sz w:val="24"/>
          <w:szCs w:val="24"/>
        </w:rPr>
        <w:t>控制系统：P</w:t>
      </w:r>
      <w:r>
        <w:rPr>
          <w:rFonts w:ascii="Times New Roman" w:hAnsi="Times New Roman" w:eastAsia="宋体"/>
          <w:sz w:val="24"/>
          <w:szCs w:val="24"/>
        </w:rPr>
        <w:t>LC</w:t>
      </w:r>
      <w:r>
        <w:rPr>
          <w:rFonts w:hint="eastAsia" w:ascii="Times New Roman" w:hAnsi="Times New Roman" w:eastAsia="宋体"/>
          <w:sz w:val="24"/>
          <w:szCs w:val="24"/>
        </w:rPr>
        <w:t>控制模块控制电源、监控各安全防护系统工作；P</w:t>
      </w:r>
      <w:r>
        <w:rPr>
          <w:rFonts w:ascii="Times New Roman" w:hAnsi="Times New Roman" w:eastAsia="宋体"/>
          <w:sz w:val="24"/>
          <w:szCs w:val="24"/>
        </w:rPr>
        <w:t>LC</w:t>
      </w:r>
      <w:r>
        <w:rPr>
          <w:rFonts w:hint="eastAsia" w:ascii="Times New Roman" w:hAnsi="Times New Roman" w:eastAsia="宋体"/>
          <w:sz w:val="24"/>
          <w:szCs w:val="24"/>
        </w:rPr>
        <w:t>控制相比单片机类的微机控制，性能更稳定可靠。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 w:cs="等线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14.</w:t>
      </w:r>
      <w:r>
        <w:rPr>
          <w:rFonts w:hint="eastAsia" w:ascii="Times New Roman" w:hAnsi="Times New Roman" w:eastAsia="宋体"/>
          <w:sz w:val="24"/>
          <w:szCs w:val="24"/>
        </w:rPr>
        <w:t>显示操作系统</w:t>
      </w:r>
    </w:p>
    <w:p>
      <w:pPr>
        <w:spacing w:line="276" w:lineRule="auto"/>
        <w:ind w:left="9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.1触屏操作，设备操作简单且有自动记忆功能，操作者通过触摸屏设置激光功率及激光工作方式即可完成参数设置。</w:t>
      </w:r>
    </w:p>
    <w:p>
      <w:pPr>
        <w:spacing w:line="276" w:lineRule="auto"/>
        <w:ind w:left="9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.2参数保存：可保存4种治疗参数或调用已保存参数</w:t>
      </w:r>
    </w:p>
    <w:p>
      <w:pPr>
        <w:spacing w:line="276" w:lineRule="auto"/>
        <w:ind w:left="9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.3</w:t>
      </w:r>
      <w:r>
        <w:rPr>
          <w:rFonts w:ascii="Times New Roman" w:hAnsi="Times New Roman" w:eastAsia="宋体"/>
          <w:color w:val="000000"/>
          <w:sz w:val="24"/>
          <w:szCs w:val="24"/>
        </w:rPr>
        <w:t>报警提示：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非正常连接时提供报警及解决方案，</w:t>
      </w:r>
      <w:r>
        <w:rPr>
          <w:rFonts w:ascii="Times New Roman" w:hAnsi="Times New Roman" w:eastAsia="宋体"/>
          <w:color w:val="000000"/>
          <w:sz w:val="24"/>
          <w:szCs w:val="24"/>
        </w:rPr>
        <w:t>并以文字和图标方式报警提示，便于判断故障和维修。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15.</w:t>
      </w:r>
      <w:r>
        <w:rPr>
          <w:rFonts w:hint="eastAsia" w:ascii="Times New Roman" w:hAnsi="Times New Roman" w:eastAsia="宋体"/>
          <w:sz w:val="24"/>
          <w:szCs w:val="24"/>
        </w:rPr>
        <w:t>安全防护系统：多重安全防护系统设计，保障用户使用安全。</w:t>
      </w:r>
    </w:p>
    <w:p>
      <w:pPr>
        <w:widowControl/>
        <w:numPr>
          <w:numId w:val="0"/>
        </w:numPr>
        <w:spacing w:line="276" w:lineRule="auto"/>
        <w:ind w:left="480" w:left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16.</w:t>
      </w:r>
      <w:r>
        <w:rPr>
          <w:rFonts w:hint="eastAsia" w:ascii="Times New Roman" w:hAnsi="Times New Roman" w:eastAsia="宋体"/>
          <w:sz w:val="24"/>
          <w:szCs w:val="24"/>
        </w:rPr>
        <w:t>音量钮：激光输出提示音音量调节旋钮</w:t>
      </w:r>
    </w:p>
    <w:p>
      <w:pPr>
        <w:widowControl/>
        <w:spacing w:line="276" w:lineRule="auto"/>
        <w:ind w:left="480"/>
        <w:jc w:val="left"/>
        <w:rPr>
          <w:rFonts w:hint="eastAsia" w:ascii="Times New Roman" w:hAnsi="Times New Roman" w:eastAsia="宋体"/>
          <w:sz w:val="24"/>
          <w:szCs w:val="24"/>
        </w:rPr>
      </w:pPr>
    </w:p>
    <w:p>
      <w:pPr>
        <w:jc w:val="left"/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评分标准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带“*”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最多扣20分，常规参数有一项不满足扣2分，最多扣26分</w:t>
            </w:r>
            <w:r>
              <w:rPr>
                <w:rFonts w:ascii="Times New Roman" w:hAnsi="Times New Roman" w:eastAsia="宋体" w:cs="Times New Roman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根据供应商提供的售后服务方案进行评分，售后服务方案包括但不限于：售后服务体系、售后服务技术人员配置、售后服务响应时间、用户培训方案等方面。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方案包含上述内容的得基础分10分，缺一项扣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分，最多加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分。本项最多得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响应文件的规范性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响应文件制作规范，没有细微偏差情形的得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分；有一项细微偏差扣2分，直至该项分值扣完为止。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MS Mincho">
    <w:altName w:val="Tanuki Permanent Marker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Tanuki Permanent Marker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WRhNzJlZDRlMDEwMzY5OWZiYWQ1NTE5ZmVkYzgifQ=="/>
  </w:docVars>
  <w:rsids>
    <w:rsidRoot w:val="00000000"/>
    <w:rsid w:val="033B657F"/>
    <w:rsid w:val="04F627C5"/>
    <w:rsid w:val="066B1C3A"/>
    <w:rsid w:val="06E86A9D"/>
    <w:rsid w:val="0BB62F04"/>
    <w:rsid w:val="0D791B1B"/>
    <w:rsid w:val="17586E9F"/>
    <w:rsid w:val="29CC598E"/>
    <w:rsid w:val="2CC47625"/>
    <w:rsid w:val="2F635CDD"/>
    <w:rsid w:val="30456889"/>
    <w:rsid w:val="36870AE5"/>
    <w:rsid w:val="3AF543BF"/>
    <w:rsid w:val="429E7C65"/>
    <w:rsid w:val="440C4C8F"/>
    <w:rsid w:val="50453A6E"/>
    <w:rsid w:val="58B215AB"/>
    <w:rsid w:val="5ABA7B4A"/>
    <w:rsid w:val="5D8C18FC"/>
    <w:rsid w:val="5E906FDD"/>
    <w:rsid w:val="71882E13"/>
    <w:rsid w:val="78CE04C4"/>
    <w:rsid w:val="796C1BA2"/>
    <w:rsid w:val="7A8F71CE"/>
    <w:rsid w:val="7F501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1077</Characters>
  <Lines>0</Lines>
  <Paragraphs>0</Paragraphs>
  <TotalTime>0</TotalTime>
  <ScaleCrop>false</ScaleCrop>
  <LinksUpToDate>false</LinksUpToDate>
  <CharactersWithSpaces>1079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2020-08-06T02:09:00Z</cp:lastPrinted>
  <dcterms:modified xsi:type="dcterms:W3CDTF">2022-06-09T08:36:41Z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3AC49C8C4EE043CCB1C6236F67DB16E4</vt:lpwstr>
  </property>
</Properties>
</file>