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供应商报名表</w:t>
      </w:r>
    </w:p>
    <w:tbl>
      <w:tblPr>
        <w:tblStyle w:val="5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384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采购项目名称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采购类型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竞争性谈判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供应商报名起止时间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日至202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日（每日上午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分至12：00分，下午14：30分至17：00分）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保证金截止时间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lang w:eastAsia="zh-CN"/>
              </w:rPr>
              <w:t>谈判</w:t>
            </w: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响应文件递交截止时间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已仔细阅读“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（项目名称）”采购公告并认真核对相关资料,已确认相关资料完全领取完毕，无遗漏。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供应商法定名称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经办人身份证号码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备注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供应商在报名时登记的电话和传真必须真实有效，且从报名时间起至投标响应文件有效期止（工作日每天8:30时至17: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时）保持畅通。失去电话联络或无法送达书面传真，所造成的一切后果由供应商自行承担。本次投标，提供的响应文件电子文本仅供供应商参考，响应文件内容以纸质文件为准，如供应商全部按电子文本编制投标响应文件，所造成的一切后果由供应商自行承担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经办人签字：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2022-04-28T03:57:43Z</dcterms:created>
  <dc:creator>Administrator</dc:creator>
  <cp:lastModifiedBy>以梦为马</cp:lastModifiedBy>
  <dcterms:modified xsi:type="dcterms:W3CDTF">2022-04-28T03:57:55Z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