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直线加速器新机房防辐射项目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招标要求</w:t>
      </w:r>
    </w:p>
    <w:p>
      <w:pPr>
        <w:spacing w:line="400" w:lineRule="exact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40" w:lineRule="exact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供应商资格：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1.1《中华人民共和国政府采购法》第二十二条第一款第（一）至（五）规定的条件：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（1）具有独立承担民事责任能力。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（2）具有良好的商业信誉和健全的财务会计制度。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（3）具有履行合同所必须的设备和专业技术能力。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（4）有依法缴纳税收和社会保障资金的良好记录。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（5）参加政府招标活动前三年内，在经营活动中没有重大违法记录，遵守《中华人民共和国政府采购法》及其他相关的法律和法规。</w:t>
      </w:r>
    </w:p>
    <w:p>
      <w:pPr>
        <w:pStyle w:val="5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1.2本项目参加政府采购活动的供应商、法定代表人或主要负责人不得具有行贿犯罪记录。</w:t>
      </w:r>
      <w:bookmarkStart w:id="1" w:name="_GoBack"/>
      <w:bookmarkEnd w:id="1"/>
    </w:p>
    <w:p>
      <w:pPr>
        <w:numPr>
          <w:ilvl w:val="0"/>
          <w:numId w:val="1"/>
        </w:numPr>
        <w:spacing w:line="440" w:lineRule="exact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防护工程材料</w:t>
      </w: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清单及相关参数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★1、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推拉铅门：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防护处理，门尺寸1800*2300mm，门洞1500*2100mm，内部为镀锌全钢骨架，应用99.99%纯铅板制作，采用发泡工艺，使防护材料与表面不锈钢粘牢固成一个整体，门体四周边框为低碳防腐铝型材</w:t>
      </w: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（提供推拉防护门外观设计专利证书）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，外观为304#不锈钢，此铅门特点：经久耐用，永不变形，美观大方，3mmpb。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default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★2、</w:t>
      </w:r>
      <w:r>
        <w:rPr>
          <w:rFonts w:hint="eastAsia" w:ascii="宋体" w:hAnsi="宋体" w:cs="宋体"/>
          <w:b w:val="0"/>
          <w:bCs/>
          <w:color w:val="auto"/>
          <w:sz w:val="24"/>
          <w:lang w:val="en-US" w:eastAsia="zh-CN"/>
        </w:rPr>
        <w:t>推拉铅门：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防护处理，门尺寸1100*2300mm，门洞800*2100mm，内部为镀锌全钢骨架，应用99.99%纯铅板制作，采用发泡工艺，使防护材料与表面不锈钢粘牢固成一个整体，门体四周边框为低碳防腐铝型材</w:t>
      </w: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（提供推拉防护门外观设计专利证书）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，外观为304#不锈钢，此铅门特点：经久耐用，永不变形，美观大方，3mmpb。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default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3、门套：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观为304#不锈钢材质，内部为射线防护铅板</w:t>
      </w: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default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4、铅玻璃：1400*1200*20mm，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透光率高，挡射线能力强，4mmpb，铅玻璃一张。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5、窗套：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外观为304#不锈钢材质，内部为射线防护铅板</w:t>
      </w: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★6、门机、门灯联锁：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工作指示灯、行程开关，射线有害健康，红灯亮时，请勿靠近。</w:t>
      </w: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（提供一种辐射防护连锁装置实用新型专利证书）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7、电动系统：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HODOLON9(FT-600)微电脑控制系统。重型轨道，红外控制，运行稳定,防挤压、防倒。</w:t>
      </w: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8、线路预埋：</w:t>
      </w:r>
      <w:r>
        <w:rPr>
          <w:rFonts w:hint="eastAsia" w:ascii="宋体" w:hAnsi="宋体" w:eastAsia="宋体" w:cs="宋体"/>
          <w:b w:val="0"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根据现场环境实施预埋方案</w:t>
      </w:r>
    </w:p>
    <w:p>
      <w:pPr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40" w:lineRule="exact"/>
        <w:rPr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3633"/>
      <w:r>
        <w:rPr>
          <w:rFonts w:hint="eastAsia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企业综合实力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具有放射卫生技术服务专业人员资质证书资质的记2分，没有不得分。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具有中华人民共和国国家知识产权局颁发的实用新型专利证书7份及以上的记2分，7份以下的记1分，没有不得分。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具有中国疾控中心检测报告4份及以上得2分，4份以下记1分，没有不得分。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具有建筑装修装饰工程专业承包贰级证书的得2分，没有不得分。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微软雅黑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具有安全生产许可证证书的得2分，没有不得分。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具有钢结构工程专业承包叁级证书得2分，没有不得分。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提供项目实施方案得2分，没有不得分。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2015年以来（以签订合同的时间为准），每有一项类似项目的射线防护(或称防辐射)同类货物或服务业绩的记1分，最多得5分，提供合同复印件。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（须与医院直接签定并盖医院公章，相同医院不得超过4份）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供应商或具有注册分支机构的（以营业执照为准）售后服务人员1人记一分，满分5分，需提供本单位近3个月的社保缴纳证明。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eastAsia"/>
        </w:rPr>
      </w:pP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default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40" w:lineRule="exact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质量保证及售后服务要求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签订合同后7天内货物到达安装现场；供应商接到采购人通知后第2日内到达现场组织安装、调试，7天内保证采购人正常使用。供应商安装和调试期间服从采购方（含项目办）指挥和安排。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供应商负责产品安装、调试，直至采购人能正常使用，所需的一切材料、备件、专业工具均由供应商负责提供。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保证所有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安装、调试一次性通过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国家检测部门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检测。如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果第一次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检测未合格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免费整改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本项目，承担第二次检查费，并按未按时投入使用的时间赔偿医院的损失（按医院上年放射科日平均收入的70%计算）。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本项目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质保期为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≥1年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壹年。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质保期内供应商应免费负责设备维修及抢修。2小时内作出维修方案决定，如4小时内无法电话解决问题，供应商维修工程师必须在接到故障报告后48小时内到达采购人现场修理和更换零件，费用（包括材料）由供应商承担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工程完工后，建立客户档案，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提供产品及配套设备的安装图纸、使用说明书、维护手册等资料。，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完工后电话回访，一月后回访一次，半年回访一次，质保期满再做一次回访。</w:t>
      </w:r>
    </w:p>
    <w:p>
      <w:pPr>
        <w:numPr>
          <w:ilvl w:val="0"/>
          <w:numId w:val="3"/>
        </w:numPr>
        <w:spacing w:line="440" w:lineRule="exact"/>
        <w:rPr>
          <w:rFonts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质保</w:t>
      </w:r>
      <w:r>
        <w:rPr>
          <w:rFonts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期满后，提供日常维修服务，并定期派服务人员回访工程质量、检测设备运行状况，确保系统使用正常</w:t>
      </w:r>
      <w:r>
        <w:rPr>
          <w:rFonts w:hint="eastAsia" w:ascii="宋体" w:hAnsi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应就产品的安装、调试、操作、维修、保养等对采购人维修技术人员进行培训。产品安装调试完毕后，供应商应对采购人操作人员进行现场培训，直至采购人的技术人员能独立操作，同时能完成一般常见故障的维修工作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必须保证提供的货物（包括零部件）是全新的、未使用过的，具有稳定性、可靠性、安全性，并完全符合国家、行业规定的质量、规格和性能要求等技术标准，凡招标文件中未提及的设备配件、附件、安装材料、调试验收所需的附属配件及供应商应向采购人提供设备安装、维修所需的专用工具和仪器，并列出清单与价格，该价格包括在投标总价格中。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验收标准以合同、招投标文件的约定及要求、相关法律法规的规定和国家（行业）标准为准。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10、终身零配件供应：供应商应保证设备停产后的备件供应保证10年，并以优惠的价格提供该设备所需的维修零配件。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11、供应商在国内应有24小时电话维修系统，并列出工程师名单、联系电话、通讯地址及备件库地址和备件的详细目录，并提供售后服务机构、人员、配件库证明材料，企业执照，和服务人员资质证书。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、质保期后，供应商应向用户提供及时、优质的、价格优惠的技术服务和备品备件供应。质保期结束后的维修维护，除材料费由采购人按照成本价支付外，其余所有费用由中标供应商自行承担，即保证终身免费上门维修维护。售后服务部门在接到电话后2小时内响应，24小时内派专业技术人员到达现场解决问题，最迟在2个工作日内修复。如不能修复应采取无偿提供采购物品的备用件或整机等措施，以保证使用方的正常工作，中标单位有其它服务承诺的，一并履行。在保修期内供方必须在不得以任何理由影响正常使用。</w:t>
      </w:r>
    </w:p>
    <w:p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附件：综合评分表</w:t>
      </w:r>
    </w:p>
    <w:tbl>
      <w:tblPr>
        <w:tblStyle w:val="3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6844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评审项目名称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 w:firstLine="2471" w:firstLineChars="1172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评审依据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投标报价部分</w:t>
            </w:r>
          </w:p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以本次最低有效投标报价为基准价，投标报价得分=(基准价／投标报价)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left="103" w:right="26" w:hanging="103" w:hangingChars="49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投标设备技术性能（30分）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依据投标人所投产品的主要技术指标、参数及性能等情况，以及与招标文件技术要求的偏离程度。完全满足或优于要求得满分30分；带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微软雅黑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一项不满足扣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分，其他一项不满足扣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 w:firstLine="310" w:firstLineChars="147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企业综合实力</w:t>
            </w:r>
          </w:p>
          <w:p>
            <w:pPr>
              <w:shd w:val="clear" w:color="auto" w:fill="FFFFFF"/>
              <w:snapToGrid w:val="0"/>
              <w:ind w:right="26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firstLine="0" w:firstLineChars="0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技术能力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具有放射卫生技术服务专业人员资质证书资质的记2分，没有不得分。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具有中华人民共和国国家知识产权局颁发的实用新型专利证书7份及以上的记2分，7份以下的记1分，没有不得分。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具有中国疾控中心检测报告4份及以上得2分，4份以下记1分，没有不得分。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具有建筑装修装饰工程专业承包贰级证书的得2分，没有不得分。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具有安全生产许可证证书的得2分，没有不得分。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具有钢结构工程专业承包叁级证书得2分，没有不得分。</w:t>
            </w:r>
          </w:p>
          <w:p>
            <w:pPr>
              <w:pStyle w:val="7"/>
              <w:spacing w:line="320" w:lineRule="exact"/>
              <w:ind w:firstLine="0" w:firstLineChars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提供项目实施方案得2分，没有不得分。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firstLine="0" w:firstLineChars="0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履约能力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年以来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（以签订合同的时间为准）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，每有一项类似项目的射线防护(或称防辐射)同类货物或服务业绩的记1分，最多得5分，提供合同复印件。（须与医院直接签定并盖医院公章，相同医院不得超过4份）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或具有注册分支机构的（以营业执照为准）售后服务人员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1人记一分，满分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5分，需提供本单位近3个月的社保缴纳证明。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项目实施方案和质保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根据供应商提供的项目实施方案的规范性、实施流程的完整性、合理性以及质量保障的完善性，方案切实可行、具有针对性、完全满足招标人要求的得1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分；方案可行，内容明确、满足招标人要求的得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分；方案可行性较好，内容完整，基本满足招标人要求的得5分，差或未提供不得分。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 w:firstLine="308" w:firstLineChars="146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质保期满一年得1分，每增加一年得1分，最多得3分；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 w:firstLine="310" w:firstLineChars="147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投标文件的规范性（2分）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ind w:right="26" w:firstLine="310" w:firstLineChars="147"/>
              <w:rPr>
                <w:rFonts w:ascii="宋体" w:hAnsi="宋体" w:cs="宋体" w:eastAsiaTheme="minorEastAsia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720"/>
        </w:tabs>
        <w:spacing w:line="440" w:lineRule="exact"/>
        <w:jc w:val="both"/>
        <w:rPr>
          <w:rFonts w:hint="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p>
      <w:pPr>
        <w:spacing w:line="360" w:lineRule="auto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4579E0"/>
    <w:multiLevelType w:val="singleLevel"/>
    <w:tmpl w:val="F54579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7F0183"/>
    <w:multiLevelType w:val="multilevel"/>
    <w:tmpl w:val="0D7F0183"/>
    <w:lvl w:ilvl="0" w:tentative="0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30744"/>
    <w:multiLevelType w:val="multilevel"/>
    <w:tmpl w:val="3803074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1B44257"/>
    <w:multiLevelType w:val="singleLevel"/>
    <w:tmpl w:val="41B442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04262"/>
    <w:rsid w:val="01987BDB"/>
    <w:rsid w:val="1CEF75B3"/>
    <w:rsid w:val="3A2F379D"/>
    <w:rsid w:val="41154936"/>
    <w:rsid w:val="68F70006"/>
    <w:rsid w:val="71604262"/>
    <w:rsid w:val="73890C8F"/>
    <w:rsid w:val="7DE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20"/>
    </w:pPr>
    <w:rPr>
      <w:kern w:val="1"/>
      <w:lang w:eastAsia="ar-SA"/>
    </w:rPr>
  </w:style>
  <w:style w:type="paragraph" w:customStyle="1" w:styleId="5">
    <w:name w:val="_正文段落"/>
    <w:basedOn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2020-12-02T09:06:00Z</dcterms:created>
  <dc:creator>玲姐</dc:creator>
  <cp:lastModifiedBy>言～</cp:lastModifiedBy>
  <dcterms:modified xsi:type="dcterms:W3CDTF">2020-12-07T09:02:41Z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