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sz w:val="20"/>
          <w:szCs w:val="20"/>
        </w:rPr>
      </w:pPr>
      <w:r>
        <w:rPr>
          <w:rFonts w:hint="eastAsia" w:hAnsi="宋体"/>
          <w:b/>
          <w:sz w:val="24"/>
          <w:szCs w:val="24"/>
          <w:lang w:val="en-US" w:eastAsia="zh-CN"/>
        </w:rPr>
        <w:t>附件：评分标准</w:t>
      </w:r>
    </w:p>
    <w:tbl>
      <w:tblPr>
        <w:tblStyle w:val="3"/>
        <w:tblpPr w:leftFromText="180" w:rightFromText="180" w:vertAnchor="page" w:horzAnchor="page" w:tblpX="770" w:tblpY="1218"/>
        <w:tblOverlap w:val="never"/>
        <w:tblW w:w="1547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5"/>
        <w:gridCol w:w="1228"/>
        <w:gridCol w:w="300"/>
        <w:gridCol w:w="9414"/>
        <w:gridCol w:w="3425"/>
        <w:gridCol w:w="69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15" w:type="dxa"/>
            <w:tcBorders>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center"/>
              <w:rPr>
                <w:sz w:val="20"/>
                <w:szCs w:val="20"/>
              </w:rPr>
            </w:pPr>
            <w:r>
              <w:rPr>
                <w:rFonts w:hint="eastAsia" w:ascii="宋体" w:hAnsi="宋体" w:eastAsia="宋体" w:cs="宋体"/>
                <w:sz w:val="20"/>
                <w:szCs w:val="20"/>
              </w:rPr>
              <w:t>序号</w:t>
            </w:r>
          </w:p>
        </w:tc>
        <w:tc>
          <w:tcPr>
            <w:tcW w:w="1228" w:type="dxa"/>
            <w:tcBorders>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center"/>
              <w:rPr>
                <w:sz w:val="20"/>
                <w:szCs w:val="20"/>
              </w:rPr>
            </w:pPr>
            <w:r>
              <w:rPr>
                <w:rFonts w:hint="eastAsia" w:ascii="宋体" w:hAnsi="宋体" w:eastAsia="宋体" w:cs="宋体"/>
                <w:sz w:val="18"/>
                <w:szCs w:val="18"/>
              </w:rPr>
              <w:t>评分因素及权重</w:t>
            </w:r>
          </w:p>
        </w:tc>
        <w:tc>
          <w:tcPr>
            <w:tcW w:w="300" w:type="dxa"/>
            <w:tcBorders>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center"/>
              <w:rPr>
                <w:sz w:val="20"/>
                <w:szCs w:val="20"/>
              </w:rPr>
            </w:pPr>
            <w:r>
              <w:rPr>
                <w:rFonts w:hint="eastAsia" w:ascii="宋体" w:hAnsi="宋体" w:eastAsia="宋体" w:cs="宋体"/>
                <w:sz w:val="20"/>
                <w:szCs w:val="20"/>
              </w:rPr>
              <w:t>分值</w:t>
            </w:r>
          </w:p>
        </w:tc>
        <w:tc>
          <w:tcPr>
            <w:tcW w:w="9414" w:type="dxa"/>
            <w:tcBorders>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sz w:val="20"/>
                <w:szCs w:val="20"/>
              </w:rPr>
            </w:pPr>
            <w:r>
              <w:rPr>
                <w:rFonts w:hint="eastAsia" w:ascii="宋体" w:hAnsi="宋体" w:eastAsia="宋体" w:cs="宋体"/>
                <w:sz w:val="20"/>
                <w:szCs w:val="20"/>
              </w:rPr>
              <w:t>评分标准</w:t>
            </w:r>
          </w:p>
        </w:tc>
        <w:tc>
          <w:tcPr>
            <w:tcW w:w="3425" w:type="dxa"/>
            <w:tcBorders>
              <w:left w:val="single" w:color="auto" w:sz="6" w:space="0"/>
              <w:bottom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sz w:val="20"/>
                <w:szCs w:val="20"/>
              </w:rPr>
            </w:pPr>
            <w:r>
              <w:rPr>
                <w:rFonts w:hint="eastAsia" w:ascii="宋体" w:hAnsi="宋体" w:eastAsia="宋体" w:cs="宋体"/>
                <w:sz w:val="20"/>
                <w:szCs w:val="20"/>
              </w:rPr>
              <w:t>说明</w:t>
            </w:r>
          </w:p>
        </w:tc>
        <w:tc>
          <w:tcPr>
            <w:tcW w:w="692" w:type="dxa"/>
            <w:tcBorders>
              <w:left w:val="single" w:color="auto" w:sz="6" w:space="0"/>
              <w:bottom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76" w:hRule="atLeast"/>
        </w:trPr>
        <w:tc>
          <w:tcPr>
            <w:tcW w:w="415" w:type="dxa"/>
            <w:tcBorders>
              <w:top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eastAsia" w:eastAsiaTheme="minorEastAsia"/>
                <w:sz w:val="20"/>
                <w:szCs w:val="20"/>
                <w:lang w:eastAsia="zh-CN"/>
              </w:rPr>
            </w:pPr>
            <w:r>
              <w:rPr>
                <w:rFonts w:hint="eastAsia" w:ascii="Times New Roman" w:hAnsi="Times New Roman" w:cs="Times New Roman"/>
                <w:sz w:val="20"/>
                <w:szCs w:val="20"/>
                <w:lang w:val="en-US" w:eastAsia="zh-CN"/>
              </w:rPr>
              <w:t>1</w:t>
            </w:r>
          </w:p>
        </w:tc>
        <w:tc>
          <w:tcPr>
            <w:tcW w:w="1228"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财政部门对代理机构年度信用评价得分情况</w:t>
            </w:r>
            <w:r>
              <w:rPr>
                <w:rFonts w:hint="eastAsia" w:ascii="宋体" w:hAnsi="宋体" w:eastAsia="宋体" w:cs="宋体"/>
                <w:sz w:val="18"/>
                <w:szCs w:val="18"/>
                <w:lang w:val="en-US" w:eastAsia="zh-CN"/>
              </w:rPr>
              <w:t>5</w:t>
            </w:r>
            <w:r>
              <w:rPr>
                <w:rFonts w:hint="eastAsia" w:ascii="宋体" w:hAnsi="宋体" w:eastAsia="宋体" w:cs="宋体"/>
                <w:sz w:val="18"/>
                <w:szCs w:val="18"/>
              </w:rPr>
              <w:t>%</w:t>
            </w:r>
          </w:p>
        </w:tc>
        <w:tc>
          <w:tcPr>
            <w:tcW w:w="300"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sz w:val="20"/>
                <w:szCs w:val="20"/>
              </w:rPr>
            </w:pPr>
            <w:r>
              <w:rPr>
                <w:rFonts w:hint="eastAsia" w:ascii="Times New Roman" w:hAnsi="Times New Roman" w:eastAsia="宋体" w:cs="Times New Roman"/>
                <w:sz w:val="20"/>
                <w:szCs w:val="20"/>
                <w:lang w:val="en-US" w:eastAsia="zh-CN"/>
              </w:rPr>
              <w:t>5</w:t>
            </w:r>
            <w:r>
              <w:rPr>
                <w:rFonts w:hint="eastAsia" w:ascii="宋体" w:hAnsi="宋体" w:eastAsia="宋体" w:cs="宋体"/>
                <w:sz w:val="20"/>
                <w:szCs w:val="20"/>
              </w:rPr>
              <w:t>分</w:t>
            </w:r>
          </w:p>
        </w:tc>
        <w:tc>
          <w:tcPr>
            <w:tcW w:w="9414"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1</w:t>
            </w:r>
            <w:r>
              <w:rPr>
                <w:rFonts w:hint="eastAsia" w:ascii="宋体" w:hAnsi="宋体" w:eastAsia="宋体" w:cs="宋体"/>
                <w:sz w:val="18"/>
                <w:szCs w:val="18"/>
              </w:rPr>
              <w:t>、根据四川省财政厅对代理机构开展年度信用评价，或年度监督检查、考核评价得分进行评价，</w:t>
            </w:r>
            <w:r>
              <w:rPr>
                <w:rFonts w:hint="default" w:ascii="Times New Roman" w:hAnsi="Times New Roman" w:cs="Times New Roman"/>
                <w:sz w:val="18"/>
                <w:szCs w:val="18"/>
              </w:rPr>
              <w:t>90</w:t>
            </w:r>
            <w:r>
              <w:rPr>
                <w:rFonts w:hint="eastAsia" w:ascii="宋体" w:hAnsi="宋体" w:eastAsia="宋体" w:cs="宋体"/>
                <w:sz w:val="18"/>
                <w:szCs w:val="18"/>
              </w:rPr>
              <w:t>分及以上的得</w:t>
            </w:r>
            <w:r>
              <w:rPr>
                <w:rFonts w:hint="eastAsia" w:ascii="Times New Roman" w:hAnsi="Times New Roman" w:eastAsia="宋体" w:cs="Times New Roman"/>
                <w:sz w:val="18"/>
                <w:szCs w:val="18"/>
                <w:lang w:val="en-US" w:eastAsia="zh-CN"/>
              </w:rPr>
              <w:t>5</w:t>
            </w:r>
            <w:r>
              <w:rPr>
                <w:rFonts w:hint="eastAsia" w:ascii="宋体" w:hAnsi="宋体" w:eastAsia="宋体" w:cs="宋体"/>
                <w:sz w:val="18"/>
                <w:szCs w:val="18"/>
              </w:rPr>
              <w:t>分，</w:t>
            </w:r>
            <w:r>
              <w:rPr>
                <w:rFonts w:hint="default" w:ascii="Times New Roman" w:hAnsi="Times New Roman" w:cs="Times New Roman"/>
                <w:sz w:val="18"/>
                <w:szCs w:val="18"/>
              </w:rPr>
              <w:t>80</w:t>
            </w:r>
            <w:r>
              <w:rPr>
                <w:rFonts w:hint="eastAsia" w:ascii="宋体" w:hAnsi="宋体" w:eastAsia="宋体" w:cs="宋体"/>
                <w:sz w:val="18"/>
                <w:szCs w:val="18"/>
              </w:rPr>
              <w:t>—</w:t>
            </w:r>
            <w:r>
              <w:rPr>
                <w:rFonts w:hint="default" w:ascii="Times New Roman" w:hAnsi="Times New Roman" w:cs="Times New Roman"/>
                <w:sz w:val="18"/>
                <w:szCs w:val="18"/>
              </w:rPr>
              <w:t>89</w:t>
            </w:r>
            <w:r>
              <w:rPr>
                <w:rFonts w:hint="eastAsia" w:ascii="宋体" w:hAnsi="宋体" w:eastAsia="宋体" w:cs="宋体"/>
                <w:sz w:val="18"/>
                <w:szCs w:val="18"/>
              </w:rPr>
              <w:t>分的得</w:t>
            </w:r>
            <w:r>
              <w:rPr>
                <w:rFonts w:hint="eastAsia" w:ascii="Times New Roman" w:hAnsi="Times New Roman" w:eastAsia="宋体" w:cs="Times New Roman"/>
                <w:sz w:val="18"/>
                <w:szCs w:val="18"/>
                <w:lang w:val="en-US" w:eastAsia="zh-CN"/>
              </w:rPr>
              <w:t>4</w:t>
            </w:r>
            <w:r>
              <w:rPr>
                <w:rFonts w:hint="eastAsia" w:ascii="宋体" w:hAnsi="宋体" w:eastAsia="宋体" w:cs="宋体"/>
                <w:sz w:val="18"/>
                <w:szCs w:val="18"/>
              </w:rPr>
              <w:t>分，</w:t>
            </w:r>
            <w:r>
              <w:rPr>
                <w:rFonts w:hint="default" w:ascii="Times New Roman" w:hAnsi="Times New Roman" w:cs="Times New Roman"/>
                <w:sz w:val="18"/>
                <w:szCs w:val="18"/>
              </w:rPr>
              <w:t>70</w:t>
            </w:r>
            <w:r>
              <w:rPr>
                <w:rFonts w:hint="eastAsia" w:ascii="宋体" w:hAnsi="宋体" w:eastAsia="宋体" w:cs="宋体"/>
                <w:sz w:val="18"/>
                <w:szCs w:val="18"/>
              </w:rPr>
              <w:t>—</w:t>
            </w:r>
            <w:r>
              <w:rPr>
                <w:rFonts w:hint="default" w:ascii="Times New Roman" w:hAnsi="Times New Roman" w:cs="Times New Roman"/>
                <w:sz w:val="18"/>
                <w:szCs w:val="18"/>
              </w:rPr>
              <w:t>79</w:t>
            </w:r>
            <w:r>
              <w:rPr>
                <w:rFonts w:hint="eastAsia" w:ascii="宋体" w:hAnsi="宋体" w:eastAsia="宋体" w:cs="宋体"/>
                <w:sz w:val="18"/>
                <w:szCs w:val="18"/>
              </w:rPr>
              <w:t>分的得</w:t>
            </w:r>
            <w:r>
              <w:rPr>
                <w:rFonts w:hint="eastAsia" w:ascii="Times New Roman" w:hAnsi="Times New Roman" w:eastAsia="宋体" w:cs="Times New Roman"/>
                <w:sz w:val="18"/>
                <w:szCs w:val="18"/>
                <w:lang w:val="en-US" w:eastAsia="zh-CN"/>
              </w:rPr>
              <w:t>3</w:t>
            </w:r>
            <w:r>
              <w:rPr>
                <w:rFonts w:hint="eastAsia" w:ascii="宋体" w:hAnsi="宋体" w:eastAsia="宋体" w:cs="宋体"/>
                <w:sz w:val="18"/>
                <w:szCs w:val="18"/>
              </w:rPr>
              <w:t>分，</w:t>
            </w:r>
            <w:r>
              <w:rPr>
                <w:rFonts w:hint="default" w:ascii="Times New Roman" w:hAnsi="Times New Roman" w:cs="Times New Roman"/>
                <w:sz w:val="18"/>
                <w:szCs w:val="18"/>
              </w:rPr>
              <w:t>60</w:t>
            </w:r>
            <w:r>
              <w:rPr>
                <w:rFonts w:hint="eastAsia" w:ascii="宋体" w:hAnsi="宋体" w:eastAsia="宋体" w:cs="宋体"/>
                <w:sz w:val="18"/>
                <w:szCs w:val="18"/>
              </w:rPr>
              <w:t>—</w:t>
            </w:r>
            <w:r>
              <w:rPr>
                <w:rFonts w:hint="default" w:ascii="Times New Roman" w:hAnsi="Times New Roman" w:cs="Times New Roman"/>
                <w:sz w:val="18"/>
                <w:szCs w:val="18"/>
              </w:rPr>
              <w:t>69</w:t>
            </w:r>
            <w:r>
              <w:rPr>
                <w:rFonts w:hint="eastAsia" w:ascii="宋体" w:hAnsi="宋体" w:eastAsia="宋体" w:cs="宋体"/>
                <w:sz w:val="18"/>
                <w:szCs w:val="18"/>
              </w:rPr>
              <w:t>的得</w:t>
            </w:r>
            <w:r>
              <w:rPr>
                <w:rFonts w:hint="eastAsia" w:ascii="Times New Roman" w:hAnsi="Times New Roman" w:eastAsia="宋体" w:cs="Times New Roman"/>
                <w:sz w:val="18"/>
                <w:szCs w:val="18"/>
                <w:lang w:val="en-US" w:eastAsia="zh-CN"/>
              </w:rPr>
              <w:t>2</w:t>
            </w:r>
            <w:r>
              <w:rPr>
                <w:rFonts w:hint="eastAsia" w:ascii="宋体" w:hAnsi="宋体" w:eastAsia="宋体" w:cs="宋体"/>
                <w:sz w:val="18"/>
                <w:szCs w:val="18"/>
              </w:rPr>
              <w:t>分</w:t>
            </w:r>
            <w:r>
              <w:rPr>
                <w:rFonts w:hint="default" w:ascii="Times New Roman" w:hAnsi="Times New Roman" w:cs="Times New Roman"/>
                <w:sz w:val="18"/>
                <w:szCs w:val="18"/>
              </w:rPr>
              <w:t>,60</w:t>
            </w:r>
            <w:r>
              <w:rPr>
                <w:rFonts w:hint="eastAsia" w:ascii="宋体" w:hAnsi="宋体" w:eastAsia="宋体" w:cs="宋体"/>
                <w:sz w:val="18"/>
                <w:szCs w:val="18"/>
              </w:rPr>
              <w:t>分以下得</w:t>
            </w:r>
            <w:r>
              <w:rPr>
                <w:rFonts w:hint="eastAsia" w:ascii="Times New Roman" w:hAnsi="Times New Roman" w:eastAsia="宋体" w:cs="Times New Roman"/>
                <w:sz w:val="18"/>
                <w:szCs w:val="18"/>
                <w:lang w:val="en-US" w:eastAsia="zh-CN"/>
              </w:rPr>
              <w:t>1</w:t>
            </w:r>
            <w:r>
              <w:rPr>
                <w:rFonts w:hint="eastAsia" w:ascii="宋体" w:hAnsi="宋体" w:eastAsia="宋体" w:cs="宋体"/>
                <w:sz w:val="18"/>
                <w:szCs w:val="18"/>
              </w:rPr>
              <w:t>分。新一轮考核评价结果尚未正式发布的，以已发布的上一年度考核评价结果计算。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2</w:t>
            </w:r>
            <w:r>
              <w:rPr>
                <w:rFonts w:hint="eastAsia" w:ascii="宋体" w:hAnsi="宋体" w:eastAsia="宋体" w:cs="宋体"/>
                <w:sz w:val="18"/>
                <w:szCs w:val="18"/>
              </w:rPr>
              <w:t>、暂未接受财政部门考核评价，或仅接受</w:t>
            </w:r>
            <w:r>
              <w:rPr>
                <w:rFonts w:hint="default" w:ascii="Times New Roman" w:hAnsi="Times New Roman" w:cs="Times New Roman"/>
                <w:sz w:val="18"/>
                <w:szCs w:val="18"/>
              </w:rPr>
              <w:t>1</w:t>
            </w:r>
            <w:r>
              <w:rPr>
                <w:rFonts w:hint="eastAsia" w:ascii="宋体" w:hAnsi="宋体" w:eastAsia="宋体" w:cs="宋体"/>
                <w:sz w:val="18"/>
                <w:szCs w:val="18"/>
              </w:rPr>
              <w:t>次考核且尚未公布结果，但在中国政府采购网或其工商注册所在地省级分网站经过网上登记的正常开展业务的代理机构得</w:t>
            </w:r>
            <w:r>
              <w:rPr>
                <w:rFonts w:hint="eastAsia" w:ascii="Times New Roman" w:hAnsi="Times New Roman" w:eastAsia="宋体" w:cs="Times New Roman"/>
                <w:sz w:val="18"/>
                <w:szCs w:val="18"/>
                <w:lang w:val="en-US" w:eastAsia="zh-CN"/>
              </w:rPr>
              <w:t>1</w:t>
            </w:r>
            <w:r>
              <w:rPr>
                <w:rFonts w:hint="eastAsia" w:ascii="宋体" w:hAnsi="宋体" w:eastAsia="宋体" w:cs="宋体"/>
                <w:sz w:val="18"/>
                <w:szCs w:val="18"/>
              </w:rPr>
              <w:t>分。</w:t>
            </w:r>
          </w:p>
        </w:tc>
        <w:tc>
          <w:tcPr>
            <w:tcW w:w="3425"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根据各代理机构提交的资料和四川政府采购网查询</w:t>
            </w:r>
            <w:r>
              <w:rPr>
                <w:rFonts w:hint="eastAsia" w:ascii="宋体" w:hAnsi="宋体" w:eastAsia="宋体" w:cs="宋体"/>
                <w:sz w:val="18"/>
                <w:szCs w:val="18"/>
                <w:lang w:eastAsia="zh-CN"/>
              </w:rPr>
              <w:t>截图</w:t>
            </w:r>
            <w:r>
              <w:rPr>
                <w:rFonts w:hint="eastAsia" w:ascii="宋体" w:hAnsi="宋体" w:eastAsia="宋体" w:cs="宋体"/>
                <w:sz w:val="18"/>
                <w:szCs w:val="18"/>
              </w:rPr>
              <w:t>进行评价。（有接受考核并发布了结果的，提供相关网页及得分截图；暂未接受考核，或仅接受1次考核但尚未公布结果的，提供情况说明函）</w:t>
            </w:r>
          </w:p>
        </w:tc>
        <w:tc>
          <w:tcPr>
            <w:tcW w:w="692"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rFonts w:hint="eastAsia" w:ascii="宋体" w:hAnsi="宋体" w:eastAsia="宋体" w:cs="宋体"/>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15" w:type="dxa"/>
            <w:tcBorders>
              <w:top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eastAsia" w:eastAsiaTheme="minorEastAsia"/>
                <w:sz w:val="20"/>
                <w:szCs w:val="20"/>
                <w:lang w:eastAsia="zh-CN"/>
              </w:rPr>
            </w:pPr>
            <w:r>
              <w:rPr>
                <w:rFonts w:hint="eastAsia" w:ascii="Times New Roman" w:hAnsi="Times New Roman" w:cs="Times New Roman"/>
                <w:sz w:val="20"/>
                <w:szCs w:val="20"/>
                <w:lang w:val="en-US" w:eastAsia="zh-CN"/>
              </w:rPr>
              <w:t>2</w:t>
            </w:r>
          </w:p>
        </w:tc>
        <w:tc>
          <w:tcPr>
            <w:tcW w:w="1228"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代理机构人员配置15%</w:t>
            </w:r>
          </w:p>
        </w:tc>
        <w:tc>
          <w:tcPr>
            <w:tcW w:w="300"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sz w:val="20"/>
                <w:szCs w:val="20"/>
              </w:rPr>
            </w:pPr>
            <w:r>
              <w:rPr>
                <w:rFonts w:hint="default" w:ascii="Times New Roman" w:hAnsi="Times New Roman" w:cs="Times New Roman"/>
                <w:sz w:val="20"/>
                <w:szCs w:val="20"/>
              </w:rPr>
              <w:t>15</w:t>
            </w:r>
            <w:r>
              <w:rPr>
                <w:rFonts w:hint="eastAsia" w:ascii="宋体" w:hAnsi="宋体" w:eastAsia="宋体" w:cs="宋体"/>
                <w:sz w:val="20"/>
                <w:szCs w:val="20"/>
              </w:rPr>
              <w:t>分</w:t>
            </w:r>
          </w:p>
        </w:tc>
        <w:tc>
          <w:tcPr>
            <w:tcW w:w="9414"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1</w:t>
            </w:r>
            <w:r>
              <w:rPr>
                <w:rFonts w:hint="eastAsia" w:ascii="宋体" w:hAnsi="宋体" w:eastAsia="宋体" w:cs="宋体"/>
                <w:sz w:val="18"/>
                <w:szCs w:val="18"/>
              </w:rPr>
              <w:t>、对各代理机构针对本项目拟提供的人员配备情况、是否满足服务期限内各具体项目运行工作需要等进行评价，相对优的得</w:t>
            </w:r>
            <w:r>
              <w:rPr>
                <w:rFonts w:hint="default" w:ascii="Times New Roman" w:hAnsi="Times New Roman" w:cs="Times New Roman"/>
                <w:sz w:val="18"/>
                <w:szCs w:val="18"/>
              </w:rPr>
              <w:t>5</w:t>
            </w:r>
            <w:r>
              <w:rPr>
                <w:rFonts w:hint="eastAsia" w:ascii="宋体" w:hAnsi="宋体" w:eastAsia="宋体" w:cs="宋体"/>
                <w:sz w:val="18"/>
                <w:szCs w:val="18"/>
              </w:rPr>
              <w:t>分，良的得</w:t>
            </w:r>
            <w:r>
              <w:rPr>
                <w:rFonts w:hint="default" w:ascii="Times New Roman" w:hAnsi="Times New Roman" w:cs="Times New Roman"/>
                <w:sz w:val="18"/>
                <w:szCs w:val="18"/>
              </w:rPr>
              <w:t>3</w:t>
            </w:r>
            <w:r>
              <w:rPr>
                <w:rFonts w:hint="eastAsia" w:ascii="宋体" w:hAnsi="宋体" w:eastAsia="宋体" w:cs="宋体"/>
                <w:sz w:val="18"/>
                <w:szCs w:val="18"/>
              </w:rPr>
              <w:t>分，一般的得</w:t>
            </w:r>
            <w:r>
              <w:rPr>
                <w:rFonts w:hint="default" w:ascii="Times New Roman" w:hAnsi="Times New Roman" w:cs="Times New Roman"/>
                <w:sz w:val="18"/>
                <w:szCs w:val="18"/>
              </w:rPr>
              <w:t>1</w:t>
            </w:r>
            <w:r>
              <w:rPr>
                <w:rFonts w:hint="eastAsia" w:ascii="宋体" w:hAnsi="宋体" w:eastAsia="宋体" w:cs="宋体"/>
                <w:sz w:val="18"/>
                <w:szCs w:val="18"/>
              </w:rPr>
              <w:t>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2</w:t>
            </w:r>
            <w:r>
              <w:rPr>
                <w:rFonts w:hint="eastAsia" w:ascii="宋体" w:hAnsi="宋体" w:eastAsia="宋体" w:cs="宋体"/>
                <w:sz w:val="18"/>
                <w:szCs w:val="18"/>
              </w:rPr>
              <w:t>、具有政府采购代理机构专职人员培训合格证书的得</w:t>
            </w:r>
            <w:r>
              <w:rPr>
                <w:rFonts w:hint="default" w:ascii="Times New Roman" w:hAnsi="Times New Roman" w:cs="Times New Roman"/>
                <w:sz w:val="18"/>
                <w:szCs w:val="18"/>
              </w:rPr>
              <w:t>5</w:t>
            </w:r>
            <w:r>
              <w:rPr>
                <w:rFonts w:hint="eastAsia" w:ascii="宋体" w:hAnsi="宋体" w:eastAsia="宋体" w:cs="宋体"/>
                <w:sz w:val="18"/>
                <w:szCs w:val="18"/>
              </w:rPr>
              <w:t>分，</w:t>
            </w:r>
            <w:r>
              <w:rPr>
                <w:rFonts w:hint="eastAsia" w:ascii="宋体" w:hAnsi="宋体" w:eastAsia="宋体" w:cs="宋体"/>
                <w:sz w:val="18"/>
                <w:szCs w:val="18"/>
                <w:lang w:eastAsia="zh-CN"/>
              </w:rPr>
              <w:t>如有其它专业资格证书的（医疗副主任职称、医疗中级职称、高级职称证书、专职律师资格证等）</w:t>
            </w:r>
            <w:r>
              <w:rPr>
                <w:rFonts w:hint="eastAsia" w:ascii="宋体" w:hAnsi="宋体" w:eastAsia="宋体" w:cs="宋体"/>
                <w:sz w:val="18"/>
                <w:szCs w:val="18"/>
              </w:rPr>
              <w:t>，</w:t>
            </w:r>
            <w:r>
              <w:rPr>
                <w:rFonts w:hint="eastAsia" w:ascii="宋体" w:hAnsi="宋体" w:eastAsia="宋体" w:cs="宋体"/>
                <w:sz w:val="18"/>
                <w:szCs w:val="18"/>
                <w:lang w:eastAsia="zh-CN"/>
              </w:rPr>
              <w:t>每提供一个加一分，</w:t>
            </w:r>
            <w:r>
              <w:rPr>
                <w:rFonts w:hint="eastAsia" w:ascii="宋体" w:hAnsi="宋体" w:eastAsia="宋体" w:cs="宋体"/>
                <w:sz w:val="18"/>
                <w:szCs w:val="18"/>
              </w:rPr>
              <w:t>最多加</w:t>
            </w:r>
            <w:r>
              <w:rPr>
                <w:rFonts w:hint="default" w:ascii="Times New Roman" w:hAnsi="Times New Roman" w:cs="Times New Roman"/>
                <w:sz w:val="18"/>
                <w:szCs w:val="18"/>
              </w:rPr>
              <w:t>5</w:t>
            </w:r>
            <w:r>
              <w:rPr>
                <w:rFonts w:hint="eastAsia" w:ascii="宋体" w:hAnsi="宋体" w:eastAsia="宋体" w:cs="宋体"/>
                <w:sz w:val="18"/>
                <w:szCs w:val="18"/>
              </w:rPr>
              <w:t>分。</w:t>
            </w:r>
          </w:p>
        </w:tc>
        <w:tc>
          <w:tcPr>
            <w:tcW w:w="3425"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提供各机构内江本地为专职人员缴纳社保证明、省财政厅政府采购代理机构专职人员继续教育培训合格证明复印件。</w:t>
            </w:r>
          </w:p>
        </w:tc>
        <w:tc>
          <w:tcPr>
            <w:tcW w:w="692"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rFonts w:hint="eastAsia" w:ascii="宋体" w:hAnsi="宋体" w:eastAsia="宋体" w:cs="宋体"/>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41" w:hRule="atLeast"/>
        </w:trPr>
        <w:tc>
          <w:tcPr>
            <w:tcW w:w="415" w:type="dxa"/>
            <w:vMerge w:val="restart"/>
            <w:tcBorders>
              <w:top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eastAsia" w:eastAsiaTheme="minorEastAsia"/>
                <w:sz w:val="20"/>
                <w:szCs w:val="20"/>
                <w:lang w:eastAsia="zh-CN"/>
              </w:rPr>
            </w:pPr>
            <w:r>
              <w:rPr>
                <w:rFonts w:hint="eastAsia" w:ascii="Times New Roman" w:hAnsi="Times New Roman" w:cs="Times New Roman"/>
                <w:sz w:val="20"/>
                <w:szCs w:val="20"/>
                <w:lang w:val="en-US" w:eastAsia="zh-CN"/>
              </w:rPr>
              <w:t>3</w:t>
            </w:r>
          </w:p>
        </w:tc>
        <w:tc>
          <w:tcPr>
            <w:tcW w:w="1228" w:type="dxa"/>
            <w:vMerge w:val="restart"/>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代理机构设施设备等场所条件</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300" w:type="dxa"/>
            <w:vMerge w:val="restart"/>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sz w:val="20"/>
                <w:szCs w:val="20"/>
              </w:rPr>
            </w:pPr>
            <w:r>
              <w:rPr>
                <w:rFonts w:hint="eastAsia" w:ascii="Times New Roman" w:hAnsi="Times New Roman" w:cs="Times New Roman"/>
                <w:sz w:val="20"/>
                <w:szCs w:val="20"/>
                <w:lang w:val="en-US" w:eastAsia="zh-CN"/>
              </w:rPr>
              <w:t>3</w:t>
            </w:r>
            <w:r>
              <w:rPr>
                <w:rFonts w:hint="default" w:ascii="Times New Roman" w:hAnsi="Times New Roman" w:cs="Times New Roman"/>
                <w:sz w:val="20"/>
                <w:szCs w:val="20"/>
              </w:rPr>
              <w:t>0</w:t>
            </w:r>
            <w:r>
              <w:rPr>
                <w:rFonts w:hint="eastAsia" w:ascii="宋体" w:hAnsi="宋体" w:eastAsia="宋体" w:cs="宋体"/>
                <w:sz w:val="20"/>
                <w:szCs w:val="20"/>
              </w:rPr>
              <w:t>分</w:t>
            </w:r>
          </w:p>
        </w:tc>
        <w:tc>
          <w:tcPr>
            <w:tcW w:w="9414"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1</w:t>
            </w:r>
            <w:r>
              <w:rPr>
                <w:rFonts w:hint="eastAsia" w:ascii="宋体" w:hAnsi="宋体" w:eastAsia="宋体" w:cs="宋体"/>
                <w:sz w:val="18"/>
                <w:szCs w:val="18"/>
              </w:rPr>
              <w:t>、代理机构在内江市主城区</w:t>
            </w:r>
            <w:r>
              <w:rPr>
                <w:rFonts w:hint="eastAsia" w:ascii="宋体" w:hAnsi="宋体" w:eastAsia="宋体" w:cs="宋体"/>
                <w:sz w:val="18"/>
                <w:szCs w:val="18"/>
                <w:lang w:eastAsia="zh-CN"/>
              </w:rPr>
              <w:t>没有</w:t>
            </w:r>
            <w:r>
              <w:rPr>
                <w:rFonts w:hint="eastAsia" w:ascii="宋体" w:hAnsi="宋体" w:eastAsia="宋体" w:cs="宋体"/>
                <w:sz w:val="18"/>
                <w:szCs w:val="18"/>
              </w:rPr>
              <w:t>独立的开标</w:t>
            </w:r>
            <w:r>
              <w:rPr>
                <w:rFonts w:hint="eastAsia" w:ascii="宋体" w:hAnsi="宋体" w:eastAsia="宋体" w:cs="宋体"/>
                <w:sz w:val="18"/>
                <w:szCs w:val="18"/>
                <w:lang w:eastAsia="zh-CN"/>
              </w:rPr>
              <w:t>场所的得</w:t>
            </w:r>
            <w:r>
              <w:rPr>
                <w:rFonts w:hint="eastAsia" w:ascii="宋体" w:hAnsi="宋体" w:eastAsia="宋体" w:cs="宋体"/>
                <w:sz w:val="18"/>
                <w:szCs w:val="18"/>
                <w:lang w:val="en-US" w:eastAsia="zh-CN"/>
              </w:rPr>
              <w:t>0分；</w:t>
            </w:r>
            <w:r>
              <w:rPr>
                <w:rFonts w:hint="eastAsia" w:ascii="宋体" w:hAnsi="宋体" w:eastAsia="宋体" w:cs="宋体"/>
                <w:sz w:val="18"/>
                <w:szCs w:val="18"/>
              </w:rPr>
              <w:t>代理机构在内江市主城区具有独立的开标功能</w:t>
            </w:r>
            <w:r>
              <w:rPr>
                <w:rFonts w:hint="eastAsia" w:ascii="宋体" w:hAnsi="宋体" w:eastAsia="宋体" w:cs="宋体"/>
                <w:sz w:val="18"/>
                <w:szCs w:val="18"/>
                <w:lang w:eastAsia="zh-CN"/>
              </w:rPr>
              <w:t>但</w:t>
            </w:r>
            <w:r>
              <w:rPr>
                <w:rFonts w:hint="eastAsia" w:ascii="宋体" w:hAnsi="宋体" w:eastAsia="宋体" w:cs="宋体"/>
                <w:sz w:val="18"/>
                <w:szCs w:val="18"/>
              </w:rPr>
              <w:t>分区布局</w:t>
            </w:r>
            <w:r>
              <w:rPr>
                <w:rFonts w:hint="eastAsia" w:ascii="宋体" w:hAnsi="宋体" w:eastAsia="宋体" w:cs="宋体"/>
                <w:sz w:val="18"/>
                <w:szCs w:val="18"/>
                <w:lang w:eastAsia="zh-CN"/>
              </w:rPr>
              <w:t>不</w:t>
            </w:r>
            <w:r>
              <w:rPr>
                <w:rFonts w:hint="eastAsia" w:ascii="宋体" w:hAnsi="宋体" w:eastAsia="宋体" w:cs="宋体"/>
                <w:sz w:val="18"/>
                <w:szCs w:val="18"/>
              </w:rPr>
              <w:t>合理</w:t>
            </w:r>
            <w:r>
              <w:rPr>
                <w:rFonts w:hint="eastAsia" w:ascii="宋体" w:hAnsi="宋体" w:eastAsia="宋体" w:cs="宋体"/>
                <w:sz w:val="18"/>
                <w:szCs w:val="18"/>
                <w:lang w:eastAsia="zh-CN"/>
              </w:rPr>
              <w:t>的</w:t>
            </w:r>
            <w:r>
              <w:rPr>
                <w:rFonts w:hint="eastAsia" w:ascii="宋体" w:hAnsi="宋体" w:eastAsia="宋体" w:cs="宋体"/>
                <w:sz w:val="18"/>
                <w:szCs w:val="18"/>
              </w:rPr>
              <w:t>得</w:t>
            </w:r>
            <w:r>
              <w:rPr>
                <w:rFonts w:hint="eastAsia" w:ascii="Times New Roman" w:hAnsi="Times New Roman" w:eastAsia="宋体" w:cs="Times New Roman"/>
                <w:sz w:val="18"/>
                <w:szCs w:val="18"/>
                <w:lang w:val="en-US" w:eastAsia="zh-CN"/>
              </w:rPr>
              <w:t>5</w:t>
            </w:r>
            <w:r>
              <w:rPr>
                <w:rFonts w:hint="eastAsia" w:ascii="宋体" w:hAnsi="宋体" w:eastAsia="宋体" w:cs="宋体"/>
                <w:sz w:val="18"/>
                <w:szCs w:val="18"/>
              </w:rPr>
              <w:t>分</w:t>
            </w:r>
            <w:r>
              <w:rPr>
                <w:rFonts w:hint="eastAsia" w:ascii="宋体" w:hAnsi="宋体" w:eastAsia="宋体" w:cs="宋体"/>
                <w:sz w:val="18"/>
                <w:szCs w:val="18"/>
                <w:lang w:eastAsia="zh-CN"/>
              </w:rPr>
              <w:t>；</w:t>
            </w:r>
            <w:r>
              <w:rPr>
                <w:rFonts w:hint="eastAsia" w:ascii="宋体" w:hAnsi="宋体" w:eastAsia="宋体" w:cs="宋体"/>
                <w:sz w:val="18"/>
                <w:szCs w:val="18"/>
              </w:rPr>
              <w:t>代理机构在内江市主城区具有独立的开标、评审场所，且开评标区、办公区、监督室、档案室等功能分区布局合理得</w:t>
            </w:r>
            <w:r>
              <w:rPr>
                <w:rFonts w:hint="eastAsia" w:ascii="Times New Roman" w:hAnsi="Times New Roman" w:eastAsia="宋体" w:cs="Times New Roman"/>
                <w:sz w:val="18"/>
                <w:szCs w:val="18"/>
                <w:lang w:val="en-US" w:eastAsia="zh-CN"/>
              </w:rPr>
              <w:t>10</w:t>
            </w:r>
            <w:r>
              <w:rPr>
                <w:rFonts w:hint="eastAsia" w:ascii="宋体" w:hAnsi="宋体" w:eastAsia="宋体" w:cs="宋体"/>
                <w:sz w:val="18"/>
                <w:szCs w:val="18"/>
              </w:rPr>
              <w:t>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eastAsia="宋体"/>
                <w:sz w:val="18"/>
                <w:szCs w:val="18"/>
                <w:lang w:val="en-US" w:eastAsia="zh-CN"/>
              </w:rPr>
            </w:pPr>
            <w:r>
              <w:rPr>
                <w:rFonts w:hint="default" w:ascii="Times New Roman" w:hAnsi="Times New Roman" w:cs="Times New Roman"/>
                <w:sz w:val="18"/>
                <w:szCs w:val="18"/>
              </w:rPr>
              <w:t>2</w:t>
            </w:r>
            <w:r>
              <w:rPr>
                <w:rFonts w:hint="eastAsia" w:ascii="宋体" w:hAnsi="宋体" w:eastAsia="宋体" w:cs="宋体"/>
                <w:sz w:val="18"/>
                <w:szCs w:val="18"/>
              </w:rPr>
              <w:t>、具备</w:t>
            </w:r>
            <w:r>
              <w:rPr>
                <w:rFonts w:hint="default" w:ascii="Times New Roman" w:hAnsi="Times New Roman" w:cs="Times New Roman"/>
                <w:sz w:val="18"/>
                <w:szCs w:val="18"/>
              </w:rPr>
              <w:t>1</w:t>
            </w:r>
            <w:r>
              <w:rPr>
                <w:rFonts w:hint="eastAsia" w:ascii="宋体" w:hAnsi="宋体" w:eastAsia="宋体" w:cs="宋体"/>
                <w:sz w:val="18"/>
                <w:szCs w:val="18"/>
              </w:rPr>
              <w:t>间开标室、</w:t>
            </w:r>
            <w:r>
              <w:rPr>
                <w:rFonts w:hint="default" w:ascii="Times New Roman" w:hAnsi="Times New Roman" w:cs="Times New Roman"/>
                <w:sz w:val="18"/>
                <w:szCs w:val="18"/>
              </w:rPr>
              <w:t>1</w:t>
            </w:r>
            <w:r>
              <w:rPr>
                <w:rFonts w:hint="eastAsia" w:ascii="宋体" w:hAnsi="宋体" w:eastAsia="宋体" w:cs="宋体"/>
                <w:sz w:val="18"/>
                <w:szCs w:val="18"/>
              </w:rPr>
              <w:t>间评标室的得</w:t>
            </w:r>
            <w:r>
              <w:rPr>
                <w:rFonts w:hint="eastAsia" w:ascii="Times New Roman" w:hAnsi="Times New Roman" w:eastAsia="宋体" w:cs="Times New Roman"/>
                <w:sz w:val="18"/>
                <w:szCs w:val="18"/>
                <w:lang w:val="en-US" w:eastAsia="zh-CN"/>
              </w:rPr>
              <w:t>4</w:t>
            </w:r>
            <w:r>
              <w:rPr>
                <w:rFonts w:hint="eastAsia" w:ascii="宋体" w:hAnsi="宋体" w:eastAsia="宋体" w:cs="宋体"/>
                <w:sz w:val="18"/>
                <w:szCs w:val="18"/>
              </w:rPr>
              <w:t>分，开、评标室每多</w:t>
            </w:r>
            <w:r>
              <w:rPr>
                <w:rFonts w:hint="default" w:ascii="Times New Roman" w:hAnsi="Times New Roman" w:cs="Times New Roman"/>
                <w:sz w:val="18"/>
                <w:szCs w:val="18"/>
              </w:rPr>
              <w:t>1</w:t>
            </w:r>
            <w:r>
              <w:rPr>
                <w:rFonts w:hint="eastAsia" w:ascii="宋体" w:hAnsi="宋体" w:eastAsia="宋体" w:cs="宋体"/>
                <w:sz w:val="18"/>
                <w:szCs w:val="18"/>
              </w:rPr>
              <w:t>间加</w:t>
            </w:r>
            <w:r>
              <w:rPr>
                <w:rFonts w:hint="eastAsia" w:ascii="Times New Roman" w:hAnsi="Times New Roman" w:eastAsia="宋体" w:cs="Times New Roman"/>
                <w:sz w:val="18"/>
                <w:szCs w:val="18"/>
                <w:lang w:val="en-US" w:eastAsia="zh-CN"/>
              </w:rPr>
              <w:t>2</w:t>
            </w:r>
            <w:r>
              <w:rPr>
                <w:rFonts w:hint="eastAsia" w:ascii="宋体" w:hAnsi="宋体" w:eastAsia="宋体" w:cs="宋体"/>
                <w:sz w:val="18"/>
                <w:szCs w:val="18"/>
              </w:rPr>
              <w:t>分；其中，具有座位数</w:t>
            </w:r>
            <w:r>
              <w:rPr>
                <w:rFonts w:hint="default" w:ascii="Times New Roman" w:hAnsi="Times New Roman" w:cs="Times New Roman"/>
                <w:sz w:val="18"/>
                <w:szCs w:val="18"/>
              </w:rPr>
              <w:t>30</w:t>
            </w:r>
            <w:r>
              <w:rPr>
                <w:rFonts w:hint="eastAsia" w:ascii="宋体" w:hAnsi="宋体" w:eastAsia="宋体" w:cs="宋体"/>
                <w:sz w:val="18"/>
                <w:szCs w:val="18"/>
              </w:rPr>
              <w:t>位及以上的开标室的加</w:t>
            </w:r>
            <w:r>
              <w:rPr>
                <w:rFonts w:hint="eastAsia" w:ascii="Times New Roman" w:hAnsi="Times New Roman" w:eastAsia="宋体" w:cs="Times New Roman"/>
                <w:sz w:val="18"/>
                <w:szCs w:val="18"/>
                <w:lang w:val="en-US" w:eastAsia="zh-CN"/>
              </w:rPr>
              <w:t>3</w:t>
            </w:r>
            <w:r>
              <w:rPr>
                <w:rFonts w:hint="eastAsia" w:ascii="宋体" w:hAnsi="宋体" w:eastAsia="宋体" w:cs="宋体"/>
                <w:sz w:val="18"/>
                <w:szCs w:val="18"/>
              </w:rPr>
              <w:t>分。此项最多得</w:t>
            </w:r>
            <w:r>
              <w:rPr>
                <w:rFonts w:hint="eastAsia" w:ascii="Times New Roman" w:hAnsi="Times New Roman" w:eastAsia="宋体" w:cs="Times New Roman"/>
                <w:sz w:val="18"/>
                <w:szCs w:val="18"/>
                <w:lang w:val="en-US" w:eastAsia="zh-CN"/>
              </w:rPr>
              <w:t>10</w:t>
            </w:r>
            <w:r>
              <w:rPr>
                <w:rFonts w:hint="eastAsia" w:ascii="宋体" w:hAnsi="宋体" w:eastAsia="宋体" w:cs="宋体"/>
                <w:sz w:val="18"/>
                <w:szCs w:val="18"/>
              </w:rPr>
              <w:t>分</w:t>
            </w:r>
            <w:r>
              <w:rPr>
                <w:rFonts w:hint="eastAsia" w:ascii="宋体" w:hAnsi="宋体" w:eastAsia="宋体" w:cs="宋体"/>
                <w:sz w:val="18"/>
                <w:szCs w:val="18"/>
                <w:lang w:eastAsia="zh-CN"/>
              </w:rPr>
              <w:t>，超过</w:t>
            </w:r>
            <w:r>
              <w:rPr>
                <w:rFonts w:hint="eastAsia" w:ascii="宋体" w:hAnsi="宋体" w:eastAsia="宋体" w:cs="宋体"/>
                <w:sz w:val="18"/>
                <w:szCs w:val="18"/>
                <w:lang w:val="en-US" w:eastAsia="zh-CN"/>
              </w:rPr>
              <w:t>10分按照10分计算。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3</w:t>
            </w:r>
            <w:r>
              <w:rPr>
                <w:rFonts w:hint="eastAsia" w:ascii="宋体" w:hAnsi="宋体" w:eastAsia="宋体" w:cs="宋体"/>
                <w:sz w:val="18"/>
                <w:szCs w:val="18"/>
              </w:rPr>
              <w:t>、评标室具有门禁系统的，得</w:t>
            </w:r>
            <w:r>
              <w:rPr>
                <w:rFonts w:hint="eastAsia" w:ascii="Times New Roman" w:hAnsi="Times New Roman" w:eastAsia="宋体" w:cs="Times New Roman"/>
                <w:sz w:val="18"/>
                <w:szCs w:val="18"/>
                <w:lang w:val="en-US" w:eastAsia="zh-CN"/>
              </w:rPr>
              <w:t>2</w:t>
            </w:r>
            <w:r>
              <w:rPr>
                <w:rFonts w:hint="eastAsia" w:ascii="宋体" w:hAnsi="宋体" w:eastAsia="宋体" w:cs="宋体"/>
                <w:sz w:val="18"/>
                <w:szCs w:val="18"/>
              </w:rPr>
              <w:t>分。</w:t>
            </w:r>
          </w:p>
        </w:tc>
        <w:tc>
          <w:tcPr>
            <w:tcW w:w="3425" w:type="dxa"/>
            <w:vMerge w:val="restart"/>
            <w:tcBorders>
              <w:top w:val="single" w:color="auto" w:sz="6" w:space="0"/>
              <w:lef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提供房屋所有权证书或购房合同或租房合同复印件，并提供场地</w:t>
            </w:r>
            <w:r>
              <w:rPr>
                <w:rFonts w:hint="eastAsia" w:ascii="宋体" w:hAnsi="宋体" w:eastAsia="宋体" w:cs="宋体"/>
                <w:sz w:val="18"/>
                <w:szCs w:val="18"/>
                <w:lang w:eastAsia="zh-CN"/>
              </w:rPr>
              <w:t>、</w:t>
            </w:r>
            <w:r>
              <w:rPr>
                <w:rFonts w:hint="eastAsia" w:ascii="宋体" w:hAnsi="宋体" w:eastAsia="宋体" w:cs="宋体"/>
                <w:sz w:val="18"/>
                <w:szCs w:val="18"/>
              </w:rPr>
              <w:t>相关设备设施图片。</w:t>
            </w:r>
          </w:p>
        </w:tc>
        <w:tc>
          <w:tcPr>
            <w:tcW w:w="692" w:type="dxa"/>
            <w:tcBorders>
              <w:top w:val="single" w:color="auto" w:sz="6" w:space="0"/>
              <w:left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rFonts w:hint="eastAsia" w:ascii="宋体" w:hAnsi="宋体" w:eastAsia="宋体" w:cs="宋体"/>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81" w:hRule="atLeast"/>
        </w:trPr>
        <w:tc>
          <w:tcPr>
            <w:tcW w:w="415" w:type="dxa"/>
            <w:vMerge w:val="continue"/>
            <w:tcBorders>
              <w:top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jc w:val="center"/>
              <w:rPr>
                <w:rFonts w:hint="eastAsia" w:ascii="宋体"/>
                <w:sz w:val="20"/>
                <w:szCs w:val="20"/>
              </w:rPr>
            </w:pPr>
          </w:p>
        </w:tc>
        <w:tc>
          <w:tcPr>
            <w:tcW w:w="1228" w:type="dxa"/>
            <w:vMerge w:val="continue"/>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jc w:val="both"/>
              <w:rPr>
                <w:rFonts w:hint="eastAsia" w:ascii="宋体"/>
                <w:sz w:val="18"/>
                <w:szCs w:val="18"/>
              </w:rPr>
            </w:pPr>
          </w:p>
        </w:tc>
        <w:tc>
          <w:tcPr>
            <w:tcW w:w="300" w:type="dxa"/>
            <w:vMerge w:val="continue"/>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jc w:val="center"/>
              <w:rPr>
                <w:rFonts w:hint="eastAsia" w:ascii="宋体"/>
                <w:sz w:val="20"/>
                <w:szCs w:val="20"/>
              </w:rPr>
            </w:pPr>
          </w:p>
        </w:tc>
        <w:tc>
          <w:tcPr>
            <w:tcW w:w="9414"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4</w:t>
            </w:r>
            <w:r>
              <w:rPr>
                <w:rFonts w:hint="eastAsia" w:ascii="宋体" w:hAnsi="宋体" w:eastAsia="宋体" w:cs="宋体"/>
                <w:sz w:val="18"/>
                <w:szCs w:val="18"/>
              </w:rPr>
              <w:t>、代理机构开标、评审场所具有的录音录像等电子监控设备设施布局规范、无盲区且状态良好，从实现的功能性、实际的影音效果、安装的规范性及设备设施、存储容量、安全等方面综合比较，相对优的得</w:t>
            </w:r>
            <w:r>
              <w:rPr>
                <w:rFonts w:hint="default" w:ascii="Times New Roman" w:hAnsi="Times New Roman" w:cs="Times New Roman"/>
                <w:sz w:val="18"/>
                <w:szCs w:val="18"/>
              </w:rPr>
              <w:t>4</w:t>
            </w:r>
            <w:r>
              <w:rPr>
                <w:rFonts w:hint="eastAsia" w:ascii="宋体" w:hAnsi="宋体" w:eastAsia="宋体" w:cs="宋体"/>
                <w:sz w:val="18"/>
                <w:szCs w:val="18"/>
              </w:rPr>
              <w:t>分，良的得</w:t>
            </w:r>
            <w:r>
              <w:rPr>
                <w:rFonts w:hint="default" w:ascii="Times New Roman" w:hAnsi="Times New Roman" w:cs="Times New Roman"/>
                <w:sz w:val="18"/>
                <w:szCs w:val="18"/>
              </w:rPr>
              <w:t>2</w:t>
            </w:r>
            <w:r>
              <w:rPr>
                <w:rFonts w:hint="eastAsia" w:ascii="宋体" w:hAnsi="宋体" w:eastAsia="宋体" w:cs="宋体"/>
                <w:sz w:val="18"/>
                <w:szCs w:val="18"/>
              </w:rPr>
              <w:t>分，一般的得</w:t>
            </w:r>
            <w:r>
              <w:rPr>
                <w:rFonts w:hint="default" w:ascii="Times New Roman" w:hAnsi="Times New Roman" w:cs="Times New Roman"/>
                <w:sz w:val="18"/>
                <w:szCs w:val="18"/>
              </w:rPr>
              <w:t>1</w:t>
            </w:r>
            <w:r>
              <w:rPr>
                <w:rFonts w:hint="eastAsia" w:ascii="宋体" w:hAnsi="宋体" w:eastAsia="宋体" w:cs="宋体"/>
                <w:sz w:val="18"/>
                <w:szCs w:val="18"/>
              </w:rPr>
              <w:t>分，开评标室无音视频监控的得</w:t>
            </w:r>
            <w:r>
              <w:rPr>
                <w:rFonts w:hint="default" w:ascii="Times New Roman" w:hAnsi="Times New Roman" w:cs="Times New Roman"/>
                <w:sz w:val="18"/>
                <w:szCs w:val="18"/>
              </w:rPr>
              <w:t>0</w:t>
            </w:r>
            <w:r>
              <w:rPr>
                <w:rFonts w:hint="eastAsia" w:ascii="宋体" w:hAnsi="宋体" w:eastAsia="宋体" w:cs="宋体"/>
                <w:sz w:val="18"/>
                <w:szCs w:val="18"/>
              </w:rPr>
              <w:t>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5</w:t>
            </w:r>
            <w:r>
              <w:rPr>
                <w:rFonts w:hint="eastAsia" w:ascii="宋体" w:hAnsi="宋体" w:eastAsia="宋体" w:cs="宋体"/>
                <w:sz w:val="18"/>
                <w:szCs w:val="18"/>
              </w:rPr>
              <w:t>、代理机构开标、评审场所、监督室、档案室、样品区等配置的桌椅、投影仪等办公设施设备条件情况，相对优的得</w:t>
            </w:r>
            <w:r>
              <w:rPr>
                <w:rFonts w:hint="default" w:ascii="Times New Roman" w:hAnsi="Times New Roman" w:cs="Times New Roman"/>
                <w:sz w:val="18"/>
                <w:szCs w:val="18"/>
              </w:rPr>
              <w:t>4</w:t>
            </w:r>
            <w:r>
              <w:rPr>
                <w:rFonts w:hint="eastAsia" w:ascii="宋体" w:hAnsi="宋体" w:eastAsia="宋体" w:cs="宋体"/>
                <w:sz w:val="18"/>
                <w:szCs w:val="18"/>
              </w:rPr>
              <w:t>分，良的得</w:t>
            </w:r>
            <w:r>
              <w:rPr>
                <w:rFonts w:hint="default" w:ascii="Times New Roman" w:hAnsi="Times New Roman" w:cs="Times New Roman"/>
                <w:sz w:val="18"/>
                <w:szCs w:val="18"/>
              </w:rPr>
              <w:t>2</w:t>
            </w:r>
            <w:r>
              <w:rPr>
                <w:rFonts w:hint="eastAsia" w:ascii="宋体" w:hAnsi="宋体" w:eastAsia="宋体" w:cs="宋体"/>
                <w:sz w:val="18"/>
                <w:szCs w:val="18"/>
              </w:rPr>
              <w:t>分，一般的得</w:t>
            </w:r>
            <w:r>
              <w:rPr>
                <w:rFonts w:hint="default" w:ascii="Times New Roman" w:hAnsi="Times New Roman" w:cs="Times New Roman"/>
                <w:sz w:val="18"/>
                <w:szCs w:val="18"/>
              </w:rPr>
              <w:t>1</w:t>
            </w:r>
            <w:r>
              <w:rPr>
                <w:rFonts w:hint="eastAsia" w:ascii="宋体" w:hAnsi="宋体" w:eastAsia="宋体" w:cs="宋体"/>
                <w:sz w:val="18"/>
                <w:szCs w:val="18"/>
              </w:rPr>
              <w:t>分。</w:t>
            </w:r>
          </w:p>
        </w:tc>
        <w:tc>
          <w:tcPr>
            <w:tcW w:w="3425" w:type="dxa"/>
            <w:vMerge w:val="continue"/>
            <w:tcBorders>
              <w:left w:val="single" w:color="auto" w:sz="6" w:space="0"/>
              <w:bottom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p>
        </w:tc>
        <w:tc>
          <w:tcPr>
            <w:tcW w:w="692" w:type="dxa"/>
            <w:tcBorders>
              <w:left w:val="single" w:color="auto" w:sz="6" w:space="0"/>
              <w:bottom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15" w:type="dxa"/>
            <w:tcBorders>
              <w:top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eastAsia" w:eastAsiaTheme="minorEastAsia"/>
                <w:sz w:val="20"/>
                <w:szCs w:val="20"/>
                <w:lang w:eastAsia="zh-CN"/>
              </w:rPr>
            </w:pPr>
            <w:r>
              <w:rPr>
                <w:rFonts w:hint="eastAsia" w:ascii="Times New Roman" w:hAnsi="Times New Roman" w:cs="Times New Roman"/>
                <w:sz w:val="20"/>
                <w:szCs w:val="20"/>
                <w:lang w:val="en-US" w:eastAsia="zh-CN"/>
              </w:rPr>
              <w:t>4</w:t>
            </w:r>
          </w:p>
        </w:tc>
        <w:tc>
          <w:tcPr>
            <w:tcW w:w="1228"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采购代理业绩</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300"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sz w:val="20"/>
                <w:szCs w:val="20"/>
              </w:rPr>
            </w:pPr>
            <w:r>
              <w:rPr>
                <w:rFonts w:hint="eastAsia" w:ascii="Times New Roman" w:hAnsi="Times New Roman" w:cs="Times New Roman"/>
                <w:sz w:val="20"/>
                <w:szCs w:val="20"/>
                <w:lang w:val="en-US" w:eastAsia="zh-CN"/>
              </w:rPr>
              <w:t>3</w:t>
            </w:r>
            <w:r>
              <w:rPr>
                <w:rFonts w:hint="default" w:ascii="Times New Roman" w:hAnsi="Times New Roman" w:cs="Times New Roman"/>
                <w:sz w:val="20"/>
                <w:szCs w:val="20"/>
              </w:rPr>
              <w:t>0</w:t>
            </w:r>
            <w:r>
              <w:rPr>
                <w:rFonts w:hint="eastAsia" w:ascii="宋体" w:hAnsi="宋体" w:eastAsia="宋体" w:cs="宋体"/>
                <w:sz w:val="20"/>
                <w:szCs w:val="20"/>
              </w:rPr>
              <w:t>分</w:t>
            </w:r>
          </w:p>
        </w:tc>
        <w:tc>
          <w:tcPr>
            <w:tcW w:w="9414"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1</w:t>
            </w:r>
            <w:r>
              <w:rPr>
                <w:rFonts w:hint="eastAsia" w:ascii="宋体" w:hAnsi="宋体" w:eastAsia="宋体" w:cs="宋体"/>
                <w:sz w:val="18"/>
                <w:szCs w:val="18"/>
              </w:rPr>
              <w:t>、</w:t>
            </w:r>
            <w:r>
              <w:rPr>
                <w:rFonts w:hint="default" w:ascii="Times New Roman" w:hAnsi="Times New Roman" w:cs="Times New Roman"/>
                <w:sz w:val="18"/>
                <w:szCs w:val="18"/>
              </w:rPr>
              <w:t>2018</w:t>
            </w:r>
            <w:r>
              <w:rPr>
                <w:rFonts w:hint="eastAsia" w:ascii="宋体" w:hAnsi="宋体" w:eastAsia="宋体" w:cs="宋体"/>
                <w:sz w:val="18"/>
                <w:szCs w:val="18"/>
              </w:rPr>
              <w:t>年</w:t>
            </w:r>
            <w:r>
              <w:rPr>
                <w:rFonts w:hint="default" w:ascii="Times New Roman" w:hAnsi="Times New Roman" w:cs="Times New Roman"/>
                <w:sz w:val="18"/>
                <w:szCs w:val="18"/>
              </w:rPr>
              <w:t>1</w:t>
            </w:r>
            <w:r>
              <w:rPr>
                <w:rFonts w:hint="eastAsia" w:ascii="宋体" w:hAnsi="宋体" w:eastAsia="宋体" w:cs="宋体"/>
                <w:sz w:val="18"/>
                <w:szCs w:val="18"/>
              </w:rPr>
              <w:t>月至今，累计代理政采及非政采项目</w:t>
            </w:r>
            <w:r>
              <w:rPr>
                <w:rFonts w:hint="eastAsia" w:ascii="宋体" w:hAnsi="宋体" w:eastAsia="宋体" w:cs="宋体"/>
                <w:sz w:val="18"/>
                <w:szCs w:val="18"/>
                <w:lang w:eastAsia="zh-CN"/>
              </w:rPr>
              <w:t>金额</w:t>
            </w:r>
            <w:r>
              <w:rPr>
                <w:rFonts w:hint="eastAsia" w:ascii="宋体" w:hAnsi="宋体" w:eastAsia="宋体" w:cs="宋体"/>
                <w:sz w:val="18"/>
                <w:szCs w:val="18"/>
              </w:rPr>
              <w:t>在</w:t>
            </w:r>
            <w:r>
              <w:rPr>
                <w:rFonts w:hint="default" w:ascii="Times New Roman" w:hAnsi="Times New Roman" w:cs="Times New Roman"/>
                <w:sz w:val="18"/>
                <w:szCs w:val="18"/>
              </w:rPr>
              <w:t>10</w:t>
            </w:r>
            <w:r>
              <w:rPr>
                <w:rFonts w:hint="eastAsia" w:ascii="Times New Roman" w:hAnsi="Times New Roman" w:cs="Times New Roman"/>
                <w:sz w:val="18"/>
                <w:szCs w:val="18"/>
                <w:lang w:val="en-US" w:eastAsia="zh-CN"/>
              </w:rPr>
              <w:t>00万</w:t>
            </w:r>
            <w:r>
              <w:rPr>
                <w:rFonts w:hint="eastAsia" w:ascii="宋体" w:hAnsi="宋体" w:eastAsia="宋体" w:cs="宋体"/>
                <w:sz w:val="18"/>
                <w:szCs w:val="18"/>
              </w:rPr>
              <w:t>及以上的</w:t>
            </w:r>
            <w:r>
              <w:rPr>
                <w:rFonts w:hint="eastAsia" w:ascii="宋体" w:hAnsi="宋体" w:eastAsia="宋体" w:cs="宋体"/>
                <w:sz w:val="18"/>
                <w:szCs w:val="18"/>
                <w:lang w:val="en-US" w:eastAsia="zh-CN"/>
              </w:rPr>
              <w:t>1个成功案例</w:t>
            </w:r>
            <w:r>
              <w:rPr>
                <w:rFonts w:hint="eastAsia" w:ascii="宋体" w:hAnsi="宋体" w:eastAsia="宋体" w:cs="宋体"/>
                <w:sz w:val="18"/>
                <w:szCs w:val="18"/>
              </w:rPr>
              <w:t>得</w:t>
            </w:r>
            <w:r>
              <w:rPr>
                <w:rFonts w:hint="eastAsia" w:ascii="Times New Roman" w:hAnsi="Times New Roman" w:eastAsia="宋体" w:cs="Times New Roman"/>
                <w:sz w:val="18"/>
                <w:szCs w:val="18"/>
                <w:lang w:val="en-US" w:eastAsia="zh-CN"/>
              </w:rPr>
              <w:t>20</w:t>
            </w:r>
            <w:r>
              <w:rPr>
                <w:rFonts w:hint="eastAsia" w:ascii="宋体" w:hAnsi="宋体" w:eastAsia="宋体" w:cs="宋体"/>
                <w:sz w:val="18"/>
                <w:szCs w:val="18"/>
              </w:rPr>
              <w:t>分，</w:t>
            </w:r>
            <w:r>
              <w:rPr>
                <w:rFonts w:hint="eastAsia" w:ascii="Times New Roman" w:hAnsi="Times New Roman" w:eastAsia="宋体" w:cs="Times New Roman"/>
                <w:sz w:val="18"/>
                <w:szCs w:val="18"/>
                <w:lang w:val="en-US" w:eastAsia="zh-CN"/>
              </w:rPr>
              <w:t>500万及以上</w:t>
            </w:r>
            <w:r>
              <w:rPr>
                <w:rFonts w:hint="eastAsia" w:ascii="宋体" w:hAnsi="宋体" w:eastAsia="宋体" w:cs="宋体"/>
                <w:sz w:val="18"/>
                <w:szCs w:val="18"/>
              </w:rPr>
              <w:t>的</w:t>
            </w:r>
            <w:r>
              <w:rPr>
                <w:rFonts w:hint="eastAsia" w:ascii="宋体" w:hAnsi="宋体" w:eastAsia="宋体" w:cs="宋体"/>
                <w:sz w:val="18"/>
                <w:szCs w:val="18"/>
                <w:lang w:val="en-US" w:eastAsia="zh-CN"/>
              </w:rPr>
              <w:t>5个成功案例</w:t>
            </w:r>
            <w:r>
              <w:rPr>
                <w:rFonts w:hint="eastAsia" w:ascii="宋体" w:hAnsi="宋体" w:eastAsia="宋体" w:cs="宋体"/>
                <w:sz w:val="18"/>
                <w:szCs w:val="18"/>
              </w:rPr>
              <w:t>得</w:t>
            </w:r>
            <w:r>
              <w:rPr>
                <w:rFonts w:hint="eastAsia" w:ascii="Times New Roman" w:hAnsi="Times New Roman" w:eastAsia="宋体" w:cs="Times New Roman"/>
                <w:sz w:val="18"/>
                <w:szCs w:val="18"/>
                <w:lang w:val="en-US" w:eastAsia="zh-CN"/>
              </w:rPr>
              <w:t>15</w:t>
            </w:r>
            <w:r>
              <w:rPr>
                <w:rFonts w:hint="eastAsia" w:ascii="宋体" w:hAnsi="宋体" w:eastAsia="宋体" w:cs="宋体"/>
                <w:sz w:val="18"/>
                <w:szCs w:val="18"/>
              </w:rPr>
              <w:t>分</w:t>
            </w:r>
            <w:r>
              <w:rPr>
                <w:rFonts w:hint="eastAsia" w:ascii="宋体" w:hAnsi="宋体" w:eastAsia="宋体" w:cs="宋体"/>
                <w:sz w:val="18"/>
                <w:szCs w:val="18"/>
                <w:lang w:eastAsia="zh-CN"/>
              </w:rPr>
              <w:t>（每个成功案例得</w:t>
            </w:r>
            <w:r>
              <w:rPr>
                <w:rFonts w:hint="eastAsia" w:ascii="宋体" w:hAnsi="宋体" w:eastAsia="宋体" w:cs="宋体"/>
                <w:sz w:val="18"/>
                <w:szCs w:val="18"/>
                <w:lang w:val="en-US" w:eastAsia="zh-CN"/>
              </w:rPr>
              <w:t>3分</w:t>
            </w: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Times New Roman" w:hAnsi="Times New Roman" w:eastAsia="宋体" w:cs="Times New Roman"/>
                <w:sz w:val="18"/>
                <w:szCs w:val="18"/>
                <w:lang w:val="en-US" w:eastAsia="zh-CN"/>
              </w:rPr>
              <w:t>100万及以上</w:t>
            </w:r>
            <w:r>
              <w:rPr>
                <w:rFonts w:hint="eastAsia" w:ascii="宋体" w:hAnsi="宋体" w:eastAsia="宋体" w:cs="宋体"/>
                <w:sz w:val="18"/>
                <w:szCs w:val="18"/>
              </w:rPr>
              <w:t>的</w:t>
            </w:r>
            <w:r>
              <w:rPr>
                <w:rFonts w:hint="eastAsia" w:ascii="宋体" w:hAnsi="宋体" w:eastAsia="宋体" w:cs="宋体"/>
                <w:sz w:val="18"/>
                <w:szCs w:val="18"/>
                <w:lang w:val="en-US" w:eastAsia="zh-CN"/>
              </w:rPr>
              <w:t>10个成功案例</w:t>
            </w:r>
            <w:r>
              <w:rPr>
                <w:rFonts w:hint="eastAsia" w:ascii="宋体" w:hAnsi="宋体" w:eastAsia="宋体" w:cs="宋体"/>
                <w:sz w:val="18"/>
                <w:szCs w:val="18"/>
              </w:rPr>
              <w:t>得</w:t>
            </w:r>
            <w:r>
              <w:rPr>
                <w:rFonts w:hint="eastAsia" w:ascii="Times New Roman" w:hAnsi="Times New Roman" w:eastAsia="宋体" w:cs="Times New Roman"/>
                <w:sz w:val="18"/>
                <w:szCs w:val="18"/>
                <w:lang w:val="en-US" w:eastAsia="zh-CN"/>
              </w:rPr>
              <w:t>10</w:t>
            </w:r>
            <w:r>
              <w:rPr>
                <w:rFonts w:hint="eastAsia" w:ascii="宋体" w:hAnsi="宋体" w:eastAsia="宋体" w:cs="宋体"/>
                <w:sz w:val="18"/>
                <w:szCs w:val="18"/>
              </w:rPr>
              <w:t>分</w:t>
            </w:r>
            <w:r>
              <w:rPr>
                <w:rFonts w:hint="eastAsia" w:ascii="宋体" w:hAnsi="宋体" w:eastAsia="宋体" w:cs="宋体"/>
                <w:sz w:val="18"/>
                <w:szCs w:val="18"/>
                <w:lang w:eastAsia="zh-CN"/>
              </w:rPr>
              <w:t>（每个成功案例得</w:t>
            </w:r>
            <w:r>
              <w:rPr>
                <w:rFonts w:hint="eastAsia" w:ascii="宋体" w:hAnsi="宋体" w:eastAsia="宋体" w:cs="宋体"/>
                <w:sz w:val="18"/>
                <w:szCs w:val="18"/>
                <w:lang w:val="en-US" w:eastAsia="zh-CN"/>
              </w:rPr>
              <w:t>1分</w:t>
            </w: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Times New Roman" w:hAnsi="Times New Roman" w:eastAsia="宋体" w:cs="Times New Roman"/>
                <w:sz w:val="18"/>
                <w:szCs w:val="18"/>
                <w:lang w:val="en-US" w:eastAsia="zh-CN"/>
              </w:rPr>
              <w:t>100万（不包含100万）以下</w:t>
            </w:r>
            <w:r>
              <w:rPr>
                <w:rFonts w:hint="eastAsia" w:ascii="宋体" w:hAnsi="宋体" w:eastAsia="宋体" w:cs="宋体"/>
                <w:sz w:val="18"/>
                <w:szCs w:val="18"/>
              </w:rPr>
              <w:t>的不得分；（截止日期为文件递交截止日，数量认定为相关网站发布的采购公告数或相关业绩证明材料。）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sz w:val="18"/>
                <w:szCs w:val="18"/>
              </w:rPr>
            </w:pPr>
            <w:r>
              <w:rPr>
                <w:rFonts w:hint="default" w:ascii="Times New Roman" w:hAnsi="Times New Roman" w:cs="Times New Roman"/>
                <w:sz w:val="18"/>
                <w:szCs w:val="18"/>
              </w:rPr>
              <w:t>2</w:t>
            </w:r>
            <w:r>
              <w:rPr>
                <w:rFonts w:hint="eastAsia" w:ascii="宋体" w:hAnsi="宋体" w:eastAsia="宋体" w:cs="宋体"/>
                <w:sz w:val="18"/>
                <w:szCs w:val="18"/>
              </w:rPr>
              <w:t>、</w:t>
            </w:r>
            <w:r>
              <w:rPr>
                <w:rFonts w:hint="default" w:ascii="Times New Roman" w:hAnsi="Times New Roman" w:cs="Times New Roman"/>
                <w:sz w:val="18"/>
                <w:szCs w:val="18"/>
              </w:rPr>
              <w:t>2018</w:t>
            </w:r>
            <w:r>
              <w:rPr>
                <w:rFonts w:hint="eastAsia" w:ascii="宋体" w:hAnsi="宋体" w:eastAsia="宋体" w:cs="宋体"/>
                <w:sz w:val="18"/>
                <w:szCs w:val="18"/>
              </w:rPr>
              <w:t>年</w:t>
            </w:r>
            <w:r>
              <w:rPr>
                <w:rFonts w:hint="default" w:ascii="Times New Roman" w:hAnsi="Times New Roman" w:cs="Times New Roman"/>
                <w:sz w:val="18"/>
                <w:szCs w:val="18"/>
              </w:rPr>
              <w:t>1</w:t>
            </w:r>
            <w:r>
              <w:rPr>
                <w:rFonts w:hint="eastAsia" w:ascii="宋体" w:hAnsi="宋体" w:eastAsia="宋体" w:cs="宋体"/>
                <w:sz w:val="18"/>
                <w:szCs w:val="18"/>
              </w:rPr>
              <w:t>月至今，累计代理</w:t>
            </w:r>
            <w:r>
              <w:rPr>
                <w:rFonts w:hint="eastAsia" w:ascii="宋体" w:hAnsi="宋体" w:eastAsia="宋体" w:cs="宋体"/>
                <w:sz w:val="18"/>
                <w:szCs w:val="18"/>
                <w:lang w:eastAsia="zh-CN"/>
              </w:rPr>
              <w:t>医疗</w:t>
            </w:r>
            <w:r>
              <w:rPr>
                <w:rFonts w:hint="eastAsia" w:ascii="宋体" w:hAnsi="宋体" w:eastAsia="宋体" w:cs="宋体"/>
                <w:sz w:val="18"/>
                <w:szCs w:val="18"/>
              </w:rPr>
              <w:t>系统类项目数量</w:t>
            </w:r>
            <w:r>
              <w:rPr>
                <w:rFonts w:hint="default" w:ascii="Times New Roman" w:hAnsi="Times New Roman" w:cs="Times New Roman"/>
                <w:sz w:val="18"/>
                <w:szCs w:val="18"/>
              </w:rPr>
              <w:t>10</w:t>
            </w:r>
            <w:r>
              <w:rPr>
                <w:rFonts w:hint="eastAsia" w:ascii="宋体" w:hAnsi="宋体" w:eastAsia="宋体" w:cs="宋体"/>
                <w:sz w:val="18"/>
                <w:szCs w:val="18"/>
              </w:rPr>
              <w:t>个及以上的得</w:t>
            </w:r>
            <w:r>
              <w:rPr>
                <w:rFonts w:hint="eastAsia" w:ascii="Times New Roman" w:hAnsi="Times New Roman" w:eastAsia="宋体" w:cs="Times New Roman"/>
                <w:sz w:val="18"/>
                <w:szCs w:val="18"/>
                <w:lang w:val="en-US" w:eastAsia="zh-CN"/>
              </w:rPr>
              <w:t>10</w:t>
            </w:r>
            <w:r>
              <w:rPr>
                <w:rFonts w:hint="eastAsia" w:ascii="宋体" w:hAnsi="宋体" w:eastAsia="宋体" w:cs="宋体"/>
                <w:sz w:val="18"/>
                <w:szCs w:val="18"/>
              </w:rPr>
              <w:t>分，</w:t>
            </w:r>
            <w:r>
              <w:rPr>
                <w:rFonts w:hint="default" w:ascii="Times New Roman" w:hAnsi="Times New Roman" w:cs="Times New Roman"/>
                <w:sz w:val="18"/>
                <w:szCs w:val="18"/>
              </w:rPr>
              <w:t>5-9</w:t>
            </w:r>
            <w:r>
              <w:rPr>
                <w:rFonts w:hint="eastAsia" w:ascii="宋体" w:hAnsi="宋体" w:eastAsia="宋体" w:cs="宋体"/>
                <w:sz w:val="18"/>
                <w:szCs w:val="18"/>
              </w:rPr>
              <w:t>个的得</w:t>
            </w:r>
            <w:r>
              <w:rPr>
                <w:rFonts w:hint="eastAsia" w:ascii="Times New Roman" w:hAnsi="Times New Roman" w:eastAsia="宋体" w:cs="Times New Roman"/>
                <w:sz w:val="18"/>
                <w:szCs w:val="18"/>
                <w:lang w:val="en-US" w:eastAsia="zh-CN"/>
              </w:rPr>
              <w:t>7</w:t>
            </w:r>
            <w:r>
              <w:rPr>
                <w:rFonts w:hint="eastAsia" w:ascii="宋体" w:hAnsi="宋体" w:eastAsia="宋体" w:cs="宋体"/>
                <w:sz w:val="18"/>
                <w:szCs w:val="18"/>
              </w:rPr>
              <w:t>分，</w:t>
            </w:r>
            <w:r>
              <w:rPr>
                <w:rFonts w:hint="default" w:ascii="Times New Roman" w:hAnsi="Times New Roman" w:cs="Times New Roman"/>
                <w:sz w:val="18"/>
                <w:szCs w:val="18"/>
              </w:rPr>
              <w:t>1-4</w:t>
            </w:r>
            <w:r>
              <w:rPr>
                <w:rFonts w:hint="eastAsia" w:ascii="宋体" w:hAnsi="宋体" w:eastAsia="宋体" w:cs="宋体"/>
                <w:sz w:val="18"/>
                <w:szCs w:val="18"/>
              </w:rPr>
              <w:t>个的得</w:t>
            </w:r>
            <w:r>
              <w:rPr>
                <w:rFonts w:hint="default" w:ascii="Times New Roman" w:hAnsi="Times New Roman" w:cs="Times New Roman"/>
                <w:sz w:val="18"/>
                <w:szCs w:val="18"/>
              </w:rPr>
              <w:t>4</w:t>
            </w:r>
            <w:r>
              <w:rPr>
                <w:rFonts w:hint="eastAsia" w:ascii="宋体" w:hAnsi="宋体" w:eastAsia="宋体" w:cs="宋体"/>
                <w:sz w:val="18"/>
                <w:szCs w:val="18"/>
              </w:rPr>
              <w:t>分，无不得分。（截止日期为文件递交截止日，数量认定为相关网站发布的采购公告数或相关业绩证明材料。）</w:t>
            </w:r>
          </w:p>
        </w:tc>
        <w:tc>
          <w:tcPr>
            <w:tcW w:w="3425"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根据各代理机构提交的业绩资料、相关网站查核</w:t>
            </w:r>
            <w:r>
              <w:rPr>
                <w:rFonts w:hint="eastAsia" w:ascii="宋体" w:hAnsi="宋体" w:eastAsia="宋体" w:cs="宋体"/>
                <w:sz w:val="18"/>
                <w:szCs w:val="18"/>
                <w:lang w:eastAsia="zh-CN"/>
              </w:rPr>
              <w:t>截图</w:t>
            </w:r>
            <w:r>
              <w:rPr>
                <w:rFonts w:hint="eastAsia" w:ascii="宋体" w:hAnsi="宋体" w:eastAsia="宋体" w:cs="宋体"/>
                <w:sz w:val="18"/>
                <w:szCs w:val="18"/>
              </w:rPr>
              <w:t>进行评价。</w:t>
            </w:r>
          </w:p>
        </w:tc>
        <w:tc>
          <w:tcPr>
            <w:tcW w:w="692"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rFonts w:hint="eastAsia" w:ascii="宋体" w:hAnsi="宋体" w:eastAsia="宋体" w:cs="宋体"/>
                <w:sz w:val="20"/>
                <w:szCs w:val="2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15" w:type="dxa"/>
            <w:tcBorders>
              <w:top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5</w:t>
            </w:r>
          </w:p>
        </w:tc>
        <w:tc>
          <w:tcPr>
            <w:tcW w:w="1228"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历史编制招标文件能力20%</w:t>
            </w:r>
            <w:bookmarkStart w:id="0" w:name="_GoBack"/>
            <w:bookmarkEnd w:id="0"/>
          </w:p>
        </w:tc>
        <w:tc>
          <w:tcPr>
            <w:tcW w:w="300"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center"/>
          </w:tcPr>
          <w:p>
            <w:pPr>
              <w:pStyle w:val="2"/>
              <w:keepNext w:val="0"/>
              <w:keepLines w:val="0"/>
              <w:widowControl/>
              <w:suppressLineNumbers w:val="0"/>
              <w:spacing w:before="0" w:beforeAutospacing="0" w:after="0" w:afterAutospacing="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20分</w:t>
            </w:r>
          </w:p>
        </w:tc>
        <w:tc>
          <w:tcPr>
            <w:tcW w:w="9414" w:type="dxa"/>
            <w:tcBorders>
              <w:top w:val="single" w:color="auto" w:sz="6" w:space="0"/>
              <w:left w:val="single" w:color="auto" w:sz="6" w:space="0"/>
              <w:bottom w:val="single" w:color="auto" w:sz="6" w:space="0"/>
              <w:right w:val="single" w:color="auto" w:sz="6" w:space="0"/>
            </w:tcBorders>
            <w:shd w:val="clear" w:color="auto" w:fill="auto"/>
            <w:tcMar>
              <w:top w:w="1" w:type="dxa"/>
              <w:left w:w="101" w:type="dxa"/>
              <w:bottom w:w="1" w:type="dxa"/>
              <w:right w:w="101"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default" w:ascii="Times New Roman" w:hAnsi="Times New Roman" w:cs="Times New Roman"/>
                <w:sz w:val="18"/>
                <w:szCs w:val="18"/>
              </w:rPr>
            </w:pPr>
            <w:r>
              <w:rPr>
                <w:rFonts w:hint="eastAsia" w:ascii="宋体" w:hAnsi="宋体" w:eastAsia="宋体" w:cs="宋体"/>
                <w:sz w:val="18"/>
                <w:szCs w:val="18"/>
                <w:lang w:val="en-US" w:eastAsia="zh-CN"/>
              </w:rPr>
              <w:t>根据投标人提供的历史编制招标方案（基建、总务、设备）中，流程的合理性、采购项目(公招、非公招方式)进度计划方案，采购代理权责的明确性、招标文件编制的专业性。招标信息发布的规范性、开评标组织的严谨性、答疑处理的及时性、档案保存的可靠性等内容进行综合评比，优的得20分，良的得15分，较好的得10分，一般的得5分。</w:t>
            </w:r>
          </w:p>
        </w:tc>
        <w:tc>
          <w:tcPr>
            <w:tcW w:w="3425"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rFonts w:hint="eastAsia" w:ascii="宋体" w:hAnsi="宋体" w:eastAsia="宋体" w:cs="宋体"/>
                <w:sz w:val="20"/>
                <w:szCs w:val="20"/>
              </w:rPr>
            </w:pPr>
          </w:p>
        </w:tc>
        <w:tc>
          <w:tcPr>
            <w:tcW w:w="692" w:type="dxa"/>
            <w:tcBorders>
              <w:top w:val="single" w:color="auto" w:sz="6" w:space="0"/>
              <w:left w:val="single" w:color="auto" w:sz="6" w:space="0"/>
              <w:bottom w:val="single" w:color="auto" w:sz="6" w:space="0"/>
            </w:tcBorders>
            <w:shd w:val="clear" w:color="auto" w:fill="auto"/>
            <w:tcMar>
              <w:top w:w="1" w:type="dxa"/>
              <w:left w:w="101" w:type="dxa"/>
              <w:bottom w:w="1" w:type="dxa"/>
              <w:right w:w="101" w:type="dxa"/>
            </w:tcMar>
            <w:vAlign w:val="top"/>
          </w:tcPr>
          <w:p>
            <w:pPr>
              <w:pStyle w:val="2"/>
              <w:keepNext w:val="0"/>
              <w:keepLines w:val="0"/>
              <w:widowControl/>
              <w:suppressLineNumbers w:val="0"/>
              <w:spacing w:before="0" w:beforeAutospacing="0" w:after="0" w:afterAutospacing="0"/>
              <w:jc w:val="both"/>
              <w:rPr>
                <w:rFonts w:hint="eastAsia" w:ascii="宋体" w:hAnsi="宋体" w:eastAsia="宋体" w:cs="宋体"/>
                <w:sz w:val="20"/>
                <w:szCs w:val="20"/>
              </w:rPr>
            </w:pPr>
          </w:p>
        </w:tc>
      </w:tr>
    </w:tbl>
    <w:p>
      <w:pPr>
        <w:rPr>
          <w:sz w:val="20"/>
          <w:szCs w:val="20"/>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A7928"/>
    <w:rsid w:val="010E61D7"/>
    <w:rsid w:val="032C1C11"/>
    <w:rsid w:val="03834819"/>
    <w:rsid w:val="04ED0199"/>
    <w:rsid w:val="05651308"/>
    <w:rsid w:val="05FB1E52"/>
    <w:rsid w:val="06096E50"/>
    <w:rsid w:val="0C2214FC"/>
    <w:rsid w:val="102805A9"/>
    <w:rsid w:val="15E80D2E"/>
    <w:rsid w:val="163A7F41"/>
    <w:rsid w:val="17855881"/>
    <w:rsid w:val="184862AF"/>
    <w:rsid w:val="1A114E59"/>
    <w:rsid w:val="1B224A3D"/>
    <w:rsid w:val="1CDF0B44"/>
    <w:rsid w:val="1E10709D"/>
    <w:rsid w:val="1FC220E2"/>
    <w:rsid w:val="20496C77"/>
    <w:rsid w:val="20F628C4"/>
    <w:rsid w:val="22321083"/>
    <w:rsid w:val="238F21ED"/>
    <w:rsid w:val="28AF4388"/>
    <w:rsid w:val="294C435E"/>
    <w:rsid w:val="2E72719B"/>
    <w:rsid w:val="31682269"/>
    <w:rsid w:val="32142F2E"/>
    <w:rsid w:val="347D2E06"/>
    <w:rsid w:val="352949FB"/>
    <w:rsid w:val="36D624D9"/>
    <w:rsid w:val="3F177A91"/>
    <w:rsid w:val="42FB5E21"/>
    <w:rsid w:val="43C66FF0"/>
    <w:rsid w:val="450F26F1"/>
    <w:rsid w:val="47795036"/>
    <w:rsid w:val="48586EC1"/>
    <w:rsid w:val="4A120AA5"/>
    <w:rsid w:val="4CA000A6"/>
    <w:rsid w:val="50714AE4"/>
    <w:rsid w:val="51F362E5"/>
    <w:rsid w:val="54CE5AAF"/>
    <w:rsid w:val="55BB4BE7"/>
    <w:rsid w:val="56A14784"/>
    <w:rsid w:val="5A5D4C3D"/>
    <w:rsid w:val="5B787E96"/>
    <w:rsid w:val="5C2A622D"/>
    <w:rsid w:val="5D565AC2"/>
    <w:rsid w:val="5ECD3C00"/>
    <w:rsid w:val="61812E4F"/>
    <w:rsid w:val="62334CC5"/>
    <w:rsid w:val="62C42AF1"/>
    <w:rsid w:val="66D7052D"/>
    <w:rsid w:val="68343129"/>
    <w:rsid w:val="72146169"/>
    <w:rsid w:val="76C239C7"/>
    <w:rsid w:val="76D929C0"/>
    <w:rsid w:val="791460EB"/>
    <w:rsid w:val="7BBA7928"/>
    <w:rsid w:val="7E25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2019-11-27T01:02:00Z</dcterms:created>
  <dc:creator>A陈小琢林文正姿笔</dc:creator>
  <cp:lastModifiedBy>A陈小琢林文正姿笔</cp:lastModifiedBy>
  <cp:lastPrinted>2019-11-28T09:25:00Z</cp:lastPrinted>
  <dcterms:modified xsi:type="dcterms:W3CDTF">2019-11-29T07:57:54Z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